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p>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51</w:t>
      </w:r>
    </w:p>
    <w:p>
      <w:pPr>
        <w:spacing w:before="0" w:after="0"/>
        <w:ind w:left="120"/>
        <w:jc w:val="center"/>
      </w:pPr>
      <w:r>
        <w:rPr>
          <w:rFonts w:ascii="Times New Roman" w:hAnsi="Times New Roman"/>
          <w:b w:val="false"/>
          <w:i w:val="false"/>
          <w:color w:val="000000"/>
          <w:sz w:val="21"/>
        </w:rPr>
        <w:t>HOSPITALS</w:t>
      </w:r>
    </w:p>
    <w:p>
      <w:pPr>
        <w:spacing w:before="0" w:after="0"/>
        <w:ind w:left="120"/>
        <w:jc w:val="center"/>
      </w:pPr>
      <w:r>
        <w:rPr>
          <w:rFonts w:ascii="Times New Roman" w:hAnsi="Times New Roman"/>
          <w:b w:val="false"/>
          <w:i w:val="false"/>
          <w:color w:val="000000"/>
          <w:sz w:val="20"/>
        </w:rPr>
        <w:t>[Prior to 12/14/88, see Health Department[470] Ch 51]</w:t>
      </w:r>
    </w:p>
    <w:p>
      <w:pPr>
        <w:spacing w:before="0" w:after="0"/>
        <w:ind w:left="120"/>
        <w:jc w:val="center"/>
      </w:pPr>
      <w:r>
        <w:rPr>
          <w:rFonts w:ascii="Times New Roman" w:hAnsi="Times New Roman"/>
          <w:b w:val="false"/>
          <w:i w:val="false"/>
          <w:color w:val="000000"/>
          <w:sz w:val="20"/>
        </w:rPr>
        <w:t>[Prior to 8/8/90, see Public Health[641] Ch 51]</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6/5/29</w:t>
      </w:r>
    </w:p>
    <w:p>
      <w:pPr>
        <w:spacing w:before="0" w:after="0"/>
        <w:ind w:left="120"/>
        <w:jc w:val="both"/>
      </w:pPr>
      <w:r>
        <w:rPr>
          <w:rFonts w:ascii="Times New Roman" w:hAnsi="Times New Roman"/>
          <w:b/>
          <w:i w:val="false"/>
          <w:color w:val="000000"/>
          <w:sz w:val="22"/>
        </w:rPr>
        <w:t>481—51.1</w:t>
      </w:r>
      <w:r>
        <w:rPr>
          <w:rFonts w:ascii="Times New Roman" w:hAnsi="Times New Roman"/>
          <w:b/>
          <w:i w:val="false"/>
          <w:color w:val="000000"/>
          <w:sz w:val="22"/>
        </w:rPr>
        <w:t xml:space="preserve">(135B) </w:t>
      </w:r>
      <w:r>
        <w:rPr>
          <w:rFonts w:ascii="Times New Roman" w:hAnsi="Times New Roman"/>
          <w:b/>
          <w:i w:val="false"/>
          <w:color w:val="000000"/>
          <w:sz w:val="22"/>
        </w:rPr>
        <w:t xml:space="preserve">Definitions. </w:t>
      </w:r>
      <w:r>
        <w:rPr>
          <w:rFonts w:ascii="Times New Roman" w:hAnsi="Times New Roman"/>
          <w:b w:val="false"/>
          <w:i w:val="false"/>
          <w:color w:val="000000"/>
          <w:sz w:val="22"/>
        </w:rPr>
        <w:t>As used in this chapter, unless the context otherwise requires, the following definitions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“Critical access hospital”</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any hospital located in a rural area and certified by the Iowa department of health and human services as being a necessary provider of health care services to residents of the area. A “critical access hospital” makes available 24-hour emergency care, is a designated provider in a rural health network, and meets the criteria specified pursuant to rule </w:t>
      </w:r>
      <w:hyperlink r:id="rId5">
        <w:r>
          <w:rPr>
            <w:rStyle w:val="Hyperlink"/>
            <w:rFonts w:ascii="Times New Roman" w:hAnsi="Times New Roman"/>
            <w:b w:val="false"/>
            <w:i w:val="false"/>
            <w:color w:val="000000"/>
            <w:sz w:val="22"/>
          </w:rPr>
          <w:t>481—51.27</w:t>
        </w:r>
      </w:hyperlink>
      <w:r>
        <w:rPr>
          <w:rFonts w:ascii="Times New Roman" w:hAnsi="Times New Roman"/>
          <w:b w:val="false"/>
          <w:i w:val="false"/>
          <w:color w:val="000000"/>
          <w:sz w:val="22"/>
        </w:rPr>
        <w:t xml:space="preserve">(135B).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“Governing board”</w:t>
      </w:r>
      <w:r>
        <w:rPr>
          <w:rFonts w:ascii="Times New Roman" w:hAnsi="Times New Roman"/>
          <w:b w:val="false"/>
          <w:i w:val="false"/>
          <w:color w:val="000000"/>
          <w:sz w:val="22"/>
        </w:rPr>
        <w:t> </w:t>
      </w:r>
      <w:r>
        <w:rPr>
          <w:rFonts w:ascii="Times New Roman" w:hAnsi="Times New Roman"/>
          <w:b w:val="false"/>
          <w:i w:val="false"/>
          <w:color w:val="000000"/>
          <w:sz w:val="22"/>
        </w:rPr>
        <w:t>means the board of trustees, the owner, or person(s) designated by the owner as the governing authority. The governing board has supreme authority in the hospital and is responsible for the management, control, and appointment of the medical staff.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“Hospital”</w:t>
      </w:r>
      <w:r>
        <w:rPr>
          <w:rFonts w:ascii="Times New Roman" w:hAnsi="Times New Roman"/>
          <w:b w:val="false"/>
          <w:i w:val="false"/>
          <w:color w:val="000000"/>
          <w:sz w:val="22"/>
        </w:rPr>
        <w:t> </w:t>
      </w:r>
      <w:r>
        <w:rPr>
          <w:rFonts w:ascii="Times New Roman" w:hAnsi="Times New Roman"/>
          <w:b w:val="false"/>
          <w:i w:val="false"/>
          <w:color w:val="000000"/>
          <w:sz w:val="22"/>
        </w:rPr>
        <w:t xml:space="preserve">or </w:t>
      </w:r>
      <w:r>
        <w:rPr>
          <w:rFonts w:ascii="Times New Roman" w:hAnsi="Times New Roman"/>
          <w:b w:val="false"/>
          <w:i/>
          <w:color w:val="000000"/>
          <w:sz w:val="22"/>
        </w:rPr>
        <w:t>“general hospital”</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an institution, place, building, or agency represented and held out to the general public as ready, willing and able to furnish care, accommodations, facilities and equipment for the diagnosis or treatment, over a period exceeding 24 hours, of two or more nonrelated individuals suffering from illness, injury, infirmity or deformity, or other physical or mental condition for which medical, surgical and obstetrical care services are provided.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“Long-term acute care hospital”</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any hospital that has an average inpatient length of stay greater than 25 days and that provides extended medical and rehabilitative care for patients who are clinically complex and who may suffer from multiple acute or chronic conditions. Services provided by a long-term acute care hospital include but are not limited to comprehensive rehabilitation, respiratory therapy, head trauma treatment, and pain management.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“Medical staff”</w:t>
      </w:r>
      <w:r>
        <w:rPr>
          <w:rFonts w:ascii="Times New Roman" w:hAnsi="Times New Roman"/>
          <w:b w:val="false"/>
          <w:i w:val="false"/>
          <w:color w:val="000000"/>
          <w:sz w:val="22"/>
        </w:rPr>
        <w:t> </w:t>
      </w:r>
      <w:r>
        <w:rPr>
          <w:rFonts w:ascii="Times New Roman" w:hAnsi="Times New Roman"/>
          <w:b w:val="false"/>
          <w:i w:val="false"/>
          <w:color w:val="000000"/>
          <w:sz w:val="22"/>
        </w:rPr>
        <w:t>means an organized body that is composed of individuals appointed by the hospital governing board, that operates under bylaws approved by the governing board and that is responsible for the quality of medical care provided to patients by the hospital. All members of the medical staff, one of whom shall be a licensed physician, shall be licensed to practice in the state of Iowa.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“Premises”</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any or all designated portions of a building or structure, enclosures or places in the building, or real estate when the distinct and clearly identifiable parts provide separate care and services. “Premises” is not to be construed to permit the existence of a separately licensed specialty hospital within the physical structure of a general hospital.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“Rural emergency hospital”</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same as defined by Iowa Code section </w:t>
      </w:r>
      <w:hyperlink r:id="rId6">
        <w:r>
          <w:rPr>
            <w:rStyle w:val="Hyperlink"/>
            <w:rFonts w:ascii="Times New Roman" w:hAnsi="Times New Roman"/>
            <w:b w:val="false"/>
            <w:i w:val="false"/>
            <w:color w:val="000000"/>
            <w:sz w:val="22"/>
          </w:rPr>
          <w:t>135B.1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“Specialized hospital”</w:t>
      </w:r>
      <w:r>
        <w:rPr>
          <w:rFonts w:ascii="Times New Roman" w:hAnsi="Times New Roman"/>
          <w:b w:val="false"/>
          <w:i w:val="false"/>
          <w:color w:val="000000"/>
          <w:sz w:val="22"/>
        </w:rPr>
        <w:t> </w:t>
      </w:r>
      <w:r>
        <w:rPr>
          <w:rFonts w:ascii="Times New Roman" w:hAnsi="Times New Roman"/>
          <w:b w:val="false"/>
          <w:i w:val="false"/>
          <w:color w:val="000000"/>
          <w:sz w:val="22"/>
        </w:rPr>
        <w:t>means any hospital devoted primarily to the specialized care and treatment of persons with chronic or long-term illness, injury, or infirmity. “Specialized hospital” does not include a specialty hospital.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“Specialty hospital”</w:t>
      </w:r>
      <w:r>
        <w:rPr>
          <w:rFonts w:ascii="Times New Roman" w:hAnsi="Times New Roman"/>
          <w:b w:val="false"/>
          <w:i w:val="false"/>
          <w:color w:val="000000"/>
          <w:sz w:val="22"/>
        </w:rPr>
        <w:t> </w:t>
      </w:r>
      <w:r>
        <w:rPr>
          <w:rFonts w:ascii="Times New Roman" w:hAnsi="Times New Roman"/>
          <w:b w:val="false"/>
          <w:i w:val="false"/>
          <w:color w:val="000000"/>
          <w:sz w:val="22"/>
        </w:rPr>
        <w:t>means the same as defined by 42 CFR Section 411.351 as amended to November 7, 2023.</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7887C</w:t>
      </w:r>
      <w:r>
        <w:rPr>
          <w:rFonts w:ascii="Times New Roman" w:hAnsi="Times New Roman"/>
          <w:b w:val="false"/>
          <w:i w:val="false"/>
          <w:color w:val="000000"/>
          <w:sz w:val="16"/>
        </w:rPr>
        <w:t>, IAB 5/1/24, effective 6/5/24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481—51.2</w:t>
      </w:r>
      <w:r>
        <w:rPr>
          <w:rFonts w:ascii="Times New Roman" w:hAnsi="Times New Roman"/>
          <w:b/>
          <w:i w:val="false"/>
          <w:color w:val="000000"/>
          <w:sz w:val="22"/>
        </w:rPr>
        <w:t xml:space="preserve">(135B) </w:t>
      </w:r>
      <w:r>
        <w:rPr>
          <w:rFonts w:ascii="Times New Roman" w:hAnsi="Times New Roman"/>
          <w:b/>
          <w:i w:val="false"/>
          <w:color w:val="000000"/>
          <w:sz w:val="22"/>
        </w:rPr>
        <w:t xml:space="preserve">Classification, compliance and license.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51.2(1)</w:t>
      </w:r>
      <w:r>
        <w:rPr>
          <w:rFonts w:ascii="Times New Roman" w:hAnsi="Times New Roman"/>
          <w:b w:val="false"/>
          <w:i w:val="false"/>
          <w:color w:val="000000"/>
          <w:sz w:val="22"/>
        </w:rPr>
        <w:t> </w:t>
      </w:r>
      <w:r>
        <w:rPr>
          <w:rFonts w:ascii="Times New Roman" w:hAnsi="Times New Roman"/>
          <w:b w:val="false"/>
          <w:i w:val="false"/>
          <w:color w:val="000000"/>
          <w:sz w:val="22"/>
        </w:rPr>
        <w:t>All hospitals subject to licensure under this chapter will be classified as a critical access hospital, general hospital, long-term acute care hospital, rural emergency hospital, or specialized hospital. The license issued by the department will clearly identify the classification of the hospital, and such designation will be set forth on the hospital’s license.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51.2(2)</w:t>
      </w:r>
      <w:r>
        <w:rPr>
          <w:rFonts w:ascii="Times New Roman" w:hAnsi="Times New Roman"/>
          <w:b w:val="false"/>
          <w:i w:val="false"/>
          <w:color w:val="000000"/>
          <w:sz w:val="22"/>
        </w:rPr>
        <w:t> </w:t>
      </w:r>
      <w:r>
        <w:rPr>
          <w:rFonts w:ascii="Times New Roman" w:hAnsi="Times New Roman"/>
          <w:b w:val="false"/>
          <w:i w:val="false"/>
          <w:color w:val="000000"/>
          <w:sz w:val="22"/>
        </w:rPr>
        <w:t>A hospital shall comply with all of the general regulations for hospitals and any rules pertaining to specialized services, if specialized services are provided in the hospital.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51.2(3)</w:t>
      </w:r>
      <w:r>
        <w:rPr>
          <w:rFonts w:ascii="Times New Roman" w:hAnsi="Times New Roman"/>
          <w:b w:val="false"/>
          <w:i w:val="false"/>
          <w:color w:val="000000"/>
          <w:sz w:val="22"/>
        </w:rPr>
        <w:t> </w:t>
      </w:r>
      <w:r>
        <w:rPr>
          <w:rFonts w:ascii="Times New Roman" w:hAnsi="Times New Roman"/>
          <w:b w:val="false"/>
          <w:i w:val="false"/>
          <w:color w:val="000000"/>
          <w:sz w:val="22"/>
        </w:rPr>
        <w:t>A separate license is required for each hospital even though more than one is operated under the same management. A separate license is not required for separate buildings of a hospital located on separate parcels of land, which are not adjoining but provide elements of the hospital’s full range of services for the diagnosis, care, and treatment of human illness, including convalescence and rehabilitation, and which are organized under a single owner or governing board with a single designated administrator and medical staff.</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51.2(4)</w:t>
      </w:r>
      <w:r>
        <w:rPr>
          <w:rFonts w:ascii="Times New Roman" w:hAnsi="Times New Roman"/>
          <w:b w:val="false"/>
          <w:i w:val="false"/>
          <w:color w:val="000000"/>
          <w:sz w:val="22"/>
        </w:rPr>
        <w:t> </w:t>
      </w:r>
      <w:r>
        <w:rPr>
          <w:rFonts w:ascii="Times New Roman" w:hAnsi="Times New Roman"/>
          <w:b w:val="false"/>
          <w:i w:val="false"/>
          <w:color w:val="000000"/>
          <w:sz w:val="22"/>
        </w:rPr>
        <w:t>The license shall be conspicuously posted on the main premises of the hospital.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51.2(5)</w:t>
      </w:r>
      <w:r>
        <w:rPr>
          <w:rFonts w:ascii="Times New Roman" w:hAnsi="Times New Roman"/>
          <w:b w:val="false"/>
          <w:i w:val="false"/>
          <w:color w:val="000000"/>
          <w:sz w:val="22"/>
        </w:rPr>
        <w:t> </w:t>
      </w:r>
      <w:r>
        <w:rPr>
          <w:rFonts w:ascii="Times New Roman" w:hAnsi="Times New Roman"/>
          <w:b w:val="false"/>
          <w:i w:val="false"/>
          <w:color w:val="000000"/>
          <w:sz w:val="22"/>
        </w:rPr>
        <w:t>The department shall recognize, in lieu of its own licensure inspection, the comparable inspections and findings of an accrediting organization approved by the Centers for Medicare and Medicaid Services (CMS) for federal certification if the department is provided with copies of all requested materials relating to the inspection process. In cases of the initial licensure, the department may require its own inspection when needed in addition to comparable accreditations to allow the hospital to begin operations. The department may also initiate its own inspection when it is determined that the inspection findings of the accrediting organization are insufficient to address concerns identified as possible licensure issues.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51.2(6)</w:t>
      </w:r>
      <w:r>
        <w:rPr>
          <w:rFonts w:ascii="Times New Roman" w:hAnsi="Times New Roman"/>
          <w:b w:val="false"/>
          <w:i w:val="false"/>
          <w:color w:val="000000"/>
          <w:sz w:val="22"/>
        </w:rPr>
        <w:t> </w:t>
      </w:r>
      <w:r>
        <w:rPr>
          <w:rFonts w:ascii="Times New Roman" w:hAnsi="Times New Roman"/>
          <w:b w:val="false"/>
          <w:i w:val="false"/>
          <w:color w:val="000000"/>
          <w:sz w:val="22"/>
        </w:rPr>
        <w:t>The department may recognize, in lieu of its own licensure inspection, the comparable inspection and inspection findings of a Medicare conditions of participation survey of a hospital certified by CMS. Hospitals that are not federally certified will be inspected utilizing the requirements of this chapter.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7887C</w:t>
      </w:r>
      <w:r>
        <w:rPr>
          <w:rFonts w:ascii="Times New Roman" w:hAnsi="Times New Roman"/>
          <w:b w:val="false"/>
          <w:i w:val="false"/>
          <w:color w:val="000000"/>
          <w:sz w:val="16"/>
        </w:rPr>
        <w:t>, IAB 5/1/24, effective 6/5/24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481—51.3</w:t>
      </w:r>
      <w:r>
        <w:rPr>
          <w:rFonts w:ascii="Times New Roman" w:hAnsi="Times New Roman"/>
          <w:b/>
          <w:i w:val="false"/>
          <w:color w:val="000000"/>
          <w:sz w:val="22"/>
        </w:rPr>
        <w:t xml:space="preserve">(135B) </w:t>
      </w:r>
      <w:r>
        <w:rPr>
          <w:rFonts w:ascii="Times New Roman" w:hAnsi="Times New Roman"/>
          <w:b/>
          <w:i w:val="false"/>
          <w:color w:val="000000"/>
          <w:sz w:val="22"/>
        </w:rPr>
        <w:t xml:space="preserve">Quality improvement program.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51.3(1)</w:t>
      </w:r>
      <w:r>
        <w:rPr>
          <w:rFonts w:ascii="Times New Roman" w:hAnsi="Times New Roman"/>
          <w:b w:val="false"/>
          <w:i w:val="false"/>
          <w:color w:val="000000"/>
          <w:sz w:val="22"/>
        </w:rPr>
        <w:t> </w:t>
      </w:r>
      <w:r>
        <w:rPr>
          <w:rFonts w:ascii="Times New Roman" w:hAnsi="Times New Roman"/>
          <w:b w:val="false"/>
          <w:i w:val="false"/>
          <w:color w:val="000000"/>
          <w:sz w:val="22"/>
        </w:rPr>
        <w:t>There shall be an ongoing hospitalwide quality improvement program. This program is to be designed to improve, as needed, the quality of patient care by: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Assessing clinical patient care;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Assessing nonclinical and patient-related services within the hospital;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Developing remedial action as needed;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Ongoing monitoring and evaluating of the progress of remedial action taken.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51.3(2)</w:t>
      </w:r>
      <w:r>
        <w:rPr>
          <w:rFonts w:ascii="Times New Roman" w:hAnsi="Times New Roman"/>
          <w:b w:val="false"/>
          <w:i w:val="false"/>
          <w:color w:val="000000"/>
          <w:sz w:val="22"/>
        </w:rPr>
        <w:t> </w:t>
      </w:r>
      <w:r>
        <w:rPr>
          <w:rFonts w:ascii="Times New Roman" w:hAnsi="Times New Roman"/>
          <w:b w:val="false"/>
          <w:i w:val="false"/>
          <w:color w:val="000000"/>
          <w:sz w:val="22"/>
        </w:rPr>
        <w:t>The governing body shall ensure there is an effective hospitalwide patient-oriented quality improvement program.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51.3(3)</w:t>
      </w:r>
      <w:r>
        <w:rPr>
          <w:rFonts w:ascii="Times New Roman" w:hAnsi="Times New Roman"/>
          <w:b w:val="false"/>
          <w:i w:val="false"/>
          <w:color w:val="000000"/>
          <w:sz w:val="22"/>
        </w:rPr>
        <w:t> </w:t>
      </w:r>
      <w:r>
        <w:rPr>
          <w:rFonts w:ascii="Times New Roman" w:hAnsi="Times New Roman"/>
          <w:b w:val="false"/>
          <w:i w:val="false"/>
          <w:color w:val="000000"/>
          <w:sz w:val="22"/>
        </w:rPr>
        <w:t>The quality improvement program shall involve active participation of physician members of the hospital’s medical staff and other health care professionals, as appropriate. Evidence of this participation will include ongoing case review and assessment of other patient care problems, which have been identified through the quality improvement process.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51.3(4)</w:t>
      </w:r>
      <w:r>
        <w:rPr>
          <w:rFonts w:ascii="Times New Roman" w:hAnsi="Times New Roman"/>
          <w:b w:val="false"/>
          <w:i w:val="false"/>
          <w:color w:val="000000"/>
          <w:sz w:val="22"/>
        </w:rPr>
        <w:t> </w:t>
      </w:r>
      <w:r>
        <w:rPr>
          <w:rFonts w:ascii="Times New Roman" w:hAnsi="Times New Roman"/>
          <w:b w:val="false"/>
          <w:i w:val="false"/>
          <w:color w:val="000000"/>
          <w:sz w:val="22"/>
        </w:rPr>
        <w:t>The quality improvement plan may include external, state, local, federal, and regional benchmarking activities designed to improve the quality of patient care. The quality improvement plan shall be written and may address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program’s objectives, organization, scope, and mechanisms for overseeing the effectiveness of monitoring, evaluation, and problem-solving activities;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participation from all departments, services (including services provided both directly and under contract), and disciplines;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An assessment of participation through a quality improvement committee meeting on an established periodic basis;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coordination of quality improvement activities;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communication, reporting and documentation of all quality improvement activities on a regular basis to the governing board, the medical staff, and the hospital administrator;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An annual evaluation by the governing board of the effectiveness of the quality improvement program;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The accessibility and confidentiality of materials relating to, generated by or part of the quality improvement process.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7887C</w:t>
      </w:r>
      <w:r>
        <w:rPr>
          <w:rFonts w:ascii="Times New Roman" w:hAnsi="Times New Roman"/>
          <w:b w:val="false"/>
          <w:i w:val="false"/>
          <w:color w:val="000000"/>
          <w:sz w:val="16"/>
        </w:rPr>
        <w:t>, IAB 5/1/24, effective 6/5/24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481—51.4</w:t>
      </w:r>
      <w:r>
        <w:rPr>
          <w:rFonts w:ascii="Times New Roman" w:hAnsi="Times New Roman"/>
          <w:b/>
          <w:i w:val="false"/>
          <w:color w:val="000000"/>
          <w:sz w:val="22"/>
        </w:rPr>
        <w:t xml:space="preserve">(135B) </w:t>
      </w:r>
      <w:r>
        <w:rPr>
          <w:rFonts w:ascii="Times New Roman" w:hAnsi="Times New Roman"/>
          <w:b/>
          <w:i w:val="false"/>
          <w:color w:val="000000"/>
          <w:sz w:val="22"/>
        </w:rPr>
        <w:t xml:space="preserve">Long-term acute care hospital located within a general hospital.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51.4(1)</w:t>
      </w:r>
      <w:r>
        <w:rPr>
          <w:rFonts w:ascii="Times New Roman" w:hAnsi="Times New Roman"/>
          <w:b w:val="false"/>
          <w:i w:val="false"/>
          <w:color w:val="000000"/>
          <w:sz w:val="22"/>
        </w:rPr>
        <w:t> </w:t>
      </w:r>
      <w:r>
        <w:rPr>
          <w:rFonts w:ascii="Times New Roman" w:hAnsi="Times New Roman"/>
          <w:b w:val="false"/>
          <w:i w:val="false"/>
          <w:color w:val="000000"/>
          <w:sz w:val="22"/>
        </w:rPr>
        <w:t>A long-term acute care hospital shall meet the requirements for a general hospital, including emergency services, except that obstetrical facilities are not required, and, if the long-term acute care hospital is located within a separately licensed hospital and does not provide its own emergency services, the long-term acute care hospital shall contract for emergency services with the host general hospital.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51.4(2)</w:t>
      </w:r>
      <w:r>
        <w:rPr>
          <w:rFonts w:ascii="Times New Roman" w:hAnsi="Times New Roman"/>
          <w:b w:val="false"/>
          <w:i w:val="false"/>
          <w:color w:val="000000"/>
          <w:sz w:val="22"/>
        </w:rPr>
        <w:t> </w:t>
      </w:r>
      <w:r>
        <w:rPr>
          <w:rFonts w:ascii="Times New Roman" w:hAnsi="Times New Roman"/>
          <w:b w:val="false"/>
          <w:i w:val="false"/>
          <w:color w:val="000000"/>
          <w:sz w:val="22"/>
        </w:rPr>
        <w:t>If a long-term acute care hospital occupies the same premises of a general hospital, all treatment facilities and administrative offices for each hospital shall be clearly marked and separated from each other and located within the licensed premises of each licensee. Treatment facilities shall be sufficient to meet the medical needs of the patients. Administrative offices include, but are not limited to, record rooms and personnel offices. Nothing prohibits a long-term acute care hospital that is occupying the same premises as a general hospital from utilizing the entrance, hallway, stairs, elevators or escalators of the general hospital to provide access to the long-term acute care hospital’s separate entrance, but there should be clearly identifiable and distinguishable signs for each hospital.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51.4(3)</w:t>
      </w:r>
      <w:r>
        <w:rPr>
          <w:rFonts w:ascii="Times New Roman" w:hAnsi="Times New Roman"/>
          <w:b w:val="false"/>
          <w:i w:val="false"/>
          <w:color w:val="000000"/>
          <w:sz w:val="22"/>
        </w:rPr>
        <w:t> </w:t>
      </w:r>
      <w:r>
        <w:rPr>
          <w:rFonts w:ascii="Times New Roman" w:hAnsi="Times New Roman"/>
          <w:b w:val="false"/>
          <w:i w:val="false"/>
          <w:color w:val="000000"/>
          <w:sz w:val="22"/>
        </w:rPr>
        <w:t>A long-term acute care hospital located within a general hospital shall have sufficient staff to meet the patients’ needs. No nursing services staff can be simultaneously assigned patient duties in both licensed hospitals.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51.4(4)</w:t>
      </w:r>
      <w:r>
        <w:rPr>
          <w:rFonts w:ascii="Times New Roman" w:hAnsi="Times New Roman"/>
          <w:b w:val="false"/>
          <w:i w:val="false"/>
          <w:color w:val="000000"/>
          <w:sz w:val="22"/>
        </w:rPr>
        <w:t> </w:t>
      </w:r>
      <w:r>
        <w:rPr>
          <w:rFonts w:ascii="Times New Roman" w:hAnsi="Times New Roman"/>
          <w:b w:val="false"/>
          <w:i w:val="false"/>
          <w:color w:val="000000"/>
          <w:sz w:val="22"/>
        </w:rPr>
        <w:t>Each long-term acute care hospital located within a general hospital and the general hospital shall have a separate and distinct governing board in control of the respective hospital. No more than one board member shall serve in a common capacity on the governing board of each licensed hospital. For the purposes of this rule, control exists if an individual or an organization has the power, directly or indirectly, to significantly influence or direct the actions or policies of an organization or institution.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51.4(5)</w:t>
      </w:r>
      <w:r>
        <w:rPr>
          <w:rFonts w:ascii="Times New Roman" w:hAnsi="Times New Roman"/>
          <w:b w:val="false"/>
          <w:i w:val="false"/>
          <w:color w:val="000000"/>
          <w:sz w:val="22"/>
        </w:rPr>
        <w:t> </w:t>
      </w:r>
      <w:r>
        <w:rPr>
          <w:rFonts w:ascii="Times New Roman" w:hAnsi="Times New Roman"/>
          <w:b w:val="false"/>
          <w:i w:val="false"/>
          <w:color w:val="000000"/>
          <w:sz w:val="22"/>
        </w:rPr>
        <w:t>A long-term acute care hospital located within a general hospital may contract with the host general hospital for the provision of services. All contracts shall clearly delineate the responsibilities of and services provided by the long-term acute care hospital and the general hospital and be executed by the respective governing boards.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7887C</w:t>
      </w:r>
      <w:r>
        <w:rPr>
          <w:rFonts w:ascii="Times New Roman" w:hAnsi="Times New Roman"/>
          <w:b w:val="false"/>
          <w:i w:val="false"/>
          <w:color w:val="000000"/>
          <w:sz w:val="16"/>
        </w:rPr>
        <w:t>, IAB 5/1/24, effective 6/5/24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481—51.5</w:t>
      </w:r>
      <w:r>
        <w:rPr>
          <w:rFonts w:ascii="Times New Roman" w:hAnsi="Times New Roman"/>
          <w:b/>
          <w:i w:val="false"/>
          <w:color w:val="000000"/>
          <w:sz w:val="22"/>
        </w:rPr>
        <w:t xml:space="preserve">(135B) </w:t>
      </w:r>
      <w:r>
        <w:rPr>
          <w:rFonts w:ascii="Times New Roman" w:hAnsi="Times New Roman"/>
          <w:b/>
          <w:i w:val="false"/>
          <w:color w:val="000000"/>
          <w:sz w:val="22"/>
        </w:rPr>
        <w:t xml:space="preserve">Medical staff.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51.5(1)</w:t>
      </w:r>
      <w:r>
        <w:rPr>
          <w:rFonts w:ascii="Times New Roman" w:hAnsi="Times New Roman"/>
          <w:b w:val="false"/>
          <w:i w:val="false"/>
          <w:color w:val="000000"/>
          <w:sz w:val="22"/>
        </w:rPr>
        <w:t> </w:t>
      </w:r>
      <w:r>
        <w:rPr>
          <w:rFonts w:ascii="Times New Roman" w:hAnsi="Times New Roman"/>
          <w:b w:val="false"/>
          <w:i w:val="false"/>
          <w:color w:val="000000"/>
          <w:sz w:val="22"/>
        </w:rPr>
        <w:t>A roster of medical staff members shall be kept.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51.5(2)</w:t>
      </w:r>
      <w:r>
        <w:rPr>
          <w:rFonts w:ascii="Times New Roman" w:hAnsi="Times New Roman"/>
          <w:b w:val="false"/>
          <w:i w:val="false"/>
          <w:color w:val="000000"/>
          <w:sz w:val="22"/>
        </w:rPr>
        <w:t> </w:t>
      </w:r>
      <w:r>
        <w:rPr>
          <w:rFonts w:ascii="Times New Roman" w:hAnsi="Times New Roman"/>
          <w:b w:val="false"/>
          <w:i w:val="false"/>
          <w:color w:val="000000"/>
          <w:sz w:val="22"/>
        </w:rPr>
        <w:t>All hospitals shall have one or more licensed physicians designated for emergency call service at all times.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51.5(3)</w:t>
      </w:r>
      <w:r>
        <w:rPr>
          <w:rFonts w:ascii="Times New Roman" w:hAnsi="Times New Roman"/>
          <w:b w:val="false"/>
          <w:i w:val="false"/>
          <w:color w:val="000000"/>
          <w:sz w:val="22"/>
        </w:rPr>
        <w:t> </w:t>
      </w:r>
      <w:r>
        <w:rPr>
          <w:rFonts w:ascii="Times New Roman" w:hAnsi="Times New Roman"/>
          <w:b w:val="false"/>
          <w:i w:val="false"/>
          <w:color w:val="000000"/>
          <w:sz w:val="22"/>
        </w:rPr>
        <w:t xml:space="preserve">A hospital shall not deny clinical privileges as set forth in Iowa Code section </w:t>
      </w:r>
      <w:hyperlink r:id="rId7">
        <w:r>
          <w:rPr>
            <w:rStyle w:val="Hyperlink"/>
            <w:rFonts w:ascii="Times New Roman" w:hAnsi="Times New Roman"/>
            <w:b w:val="false"/>
            <w:i w:val="false"/>
            <w:color w:val="000000"/>
            <w:sz w:val="22"/>
          </w:rPr>
          <w:t>135B.7(2)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51.5(4)</w:t>
      </w:r>
      <w:r>
        <w:rPr>
          <w:rFonts w:ascii="Times New Roman" w:hAnsi="Times New Roman"/>
          <w:b w:val="false"/>
          <w:i w:val="false"/>
          <w:color w:val="000000"/>
          <w:sz w:val="22"/>
        </w:rPr>
        <w:t> </w:t>
      </w:r>
      <w:r>
        <w:rPr>
          <w:rFonts w:ascii="Times New Roman" w:hAnsi="Times New Roman"/>
          <w:b w:val="false"/>
          <w:i w:val="false"/>
          <w:color w:val="000000"/>
          <w:sz w:val="22"/>
        </w:rPr>
        <w:t>A hospital shall establish and implement written criteria for the granting of clinical privileges that include but are not limited to consideration of the: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Ability of the applicant to provide patient care services independently or appropriately in the hospital;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License held by the applicant to practice;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Training, experience, and competence of the applicant;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Relationship between the applicant’s request for privileges and the hospital’s current scope of patient care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Applicant’s ability to provide comprehensive, appropriate and cost-effective services.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7887C</w:t>
      </w:r>
      <w:r>
        <w:rPr>
          <w:rFonts w:ascii="Times New Roman" w:hAnsi="Times New Roman"/>
          <w:b w:val="false"/>
          <w:i w:val="false"/>
          <w:color w:val="000000"/>
          <w:sz w:val="16"/>
        </w:rPr>
        <w:t>, IAB 5/1/24, effective 6/5/24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481—51.6</w:t>
      </w:r>
      <w:r>
        <w:rPr>
          <w:rFonts w:ascii="Times New Roman" w:hAnsi="Times New Roman"/>
          <w:b/>
          <w:i w:val="false"/>
          <w:color w:val="000000"/>
          <w:sz w:val="22"/>
        </w:rPr>
        <w:t xml:space="preserve">(135B) </w:t>
      </w:r>
      <w:r>
        <w:rPr>
          <w:rFonts w:ascii="Times New Roman" w:hAnsi="Times New Roman"/>
          <w:b/>
          <w:i w:val="false"/>
          <w:color w:val="000000"/>
          <w:sz w:val="22"/>
        </w:rPr>
        <w:t xml:space="preserve">Patient rights and responsibilities. </w:t>
      </w:r>
      <w:r>
        <w:rPr>
          <w:rFonts w:ascii="Times New Roman" w:hAnsi="Times New Roman"/>
          <w:b w:val="false"/>
          <w:i w:val="false"/>
          <w:color w:val="000000"/>
          <w:sz w:val="22"/>
        </w:rPr>
        <w:t>The hospital governing board shall adopt a statement of principles relating to patient rights and responsibilities that is made available to patients of the hospital and addresses, at a minimum: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51.6(1)</w:t>
      </w:r>
      <w:r>
        <w:rPr>
          <w:rFonts w:ascii="Times New Roman" w:hAnsi="Times New Roman"/>
          <w:b w:val="false"/>
          <w:i w:val="false"/>
          <w:color w:val="000000"/>
          <w:sz w:val="22"/>
        </w:rPr>
        <w:t> </w:t>
      </w:r>
      <w:r>
        <w:rPr>
          <w:rFonts w:ascii="Times New Roman" w:hAnsi="Times New Roman"/>
          <w:b w:val="false"/>
          <w:i w:val="false"/>
          <w:color w:val="000000"/>
          <w:sz w:val="22"/>
        </w:rPr>
        <w:t>Access to treatment regardless of age, race, creed, ethnicity, religion, culture, language, physical or mental disability, socioeconomic status, sex, sexual orientation, gender identity or expression, diagnosis, or source of payment for care;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51.6(2)</w:t>
      </w:r>
      <w:r>
        <w:rPr>
          <w:rFonts w:ascii="Times New Roman" w:hAnsi="Times New Roman"/>
          <w:b w:val="false"/>
          <w:i w:val="false"/>
          <w:color w:val="000000"/>
          <w:sz w:val="22"/>
        </w:rPr>
        <w:t> </w:t>
      </w:r>
      <w:r>
        <w:rPr>
          <w:rFonts w:ascii="Times New Roman" w:hAnsi="Times New Roman"/>
          <w:b w:val="false"/>
          <w:i w:val="false"/>
          <w:color w:val="000000"/>
          <w:sz w:val="22"/>
        </w:rPr>
        <w:t>Preservation of individual dignity and protection of personal privacy in receipt of care;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51.6(3)</w:t>
      </w:r>
      <w:r>
        <w:rPr>
          <w:rFonts w:ascii="Times New Roman" w:hAnsi="Times New Roman"/>
          <w:b w:val="false"/>
          <w:i w:val="false"/>
          <w:color w:val="000000"/>
          <w:sz w:val="22"/>
        </w:rPr>
        <w:t> </w:t>
      </w:r>
      <w:r>
        <w:rPr>
          <w:rFonts w:ascii="Times New Roman" w:hAnsi="Times New Roman"/>
          <w:b w:val="false"/>
          <w:i w:val="false"/>
          <w:color w:val="000000"/>
          <w:sz w:val="22"/>
        </w:rPr>
        <w:t>Confidentiality of medical and other appropriate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51.6(4)</w:t>
      </w:r>
      <w:r>
        <w:rPr>
          <w:rFonts w:ascii="Times New Roman" w:hAnsi="Times New Roman"/>
          <w:b w:val="false"/>
          <w:i w:val="false"/>
          <w:color w:val="000000"/>
          <w:sz w:val="22"/>
        </w:rPr>
        <w:t> </w:t>
      </w:r>
      <w:r>
        <w:rPr>
          <w:rFonts w:ascii="Times New Roman" w:hAnsi="Times New Roman"/>
          <w:b w:val="false"/>
          <w:i w:val="false"/>
          <w:color w:val="000000"/>
          <w:sz w:val="22"/>
        </w:rPr>
        <w:t>Assurance of reasonable safety within the hospital;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51.6(5)</w:t>
      </w:r>
      <w:r>
        <w:rPr>
          <w:rFonts w:ascii="Times New Roman" w:hAnsi="Times New Roman"/>
          <w:b w:val="false"/>
          <w:i w:val="false"/>
          <w:color w:val="000000"/>
          <w:sz w:val="22"/>
        </w:rPr>
        <w:t> </w:t>
      </w:r>
      <w:r>
        <w:rPr>
          <w:rFonts w:ascii="Times New Roman" w:hAnsi="Times New Roman"/>
          <w:b w:val="false"/>
          <w:i w:val="false"/>
          <w:color w:val="000000"/>
          <w:sz w:val="22"/>
        </w:rPr>
        <w:t>Knowledge of the identity of the physician or other practitioner primarily responsible for the patient’s care as well as identity and professional status of others providing services to the patient while in the hospital;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51.6(6)</w:t>
      </w:r>
      <w:r>
        <w:rPr>
          <w:rFonts w:ascii="Times New Roman" w:hAnsi="Times New Roman"/>
          <w:b w:val="false"/>
          <w:i w:val="false"/>
          <w:color w:val="000000"/>
          <w:sz w:val="22"/>
        </w:rPr>
        <w:t> </w:t>
      </w:r>
      <w:r>
        <w:rPr>
          <w:rFonts w:ascii="Times New Roman" w:hAnsi="Times New Roman"/>
          <w:b w:val="false"/>
          <w:i w:val="false"/>
          <w:color w:val="000000"/>
          <w:sz w:val="22"/>
        </w:rPr>
        <w:t>Nature of patient’s right to information regarding the patient’s medical condition unless medically contraindicated, to consult with a specialist at the patient’s request and expense, and to refuse treatment to the extent authorized by law;</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51.6(7)</w:t>
      </w:r>
      <w:r>
        <w:rPr>
          <w:rFonts w:ascii="Times New Roman" w:hAnsi="Times New Roman"/>
          <w:b w:val="false"/>
          <w:i w:val="false"/>
          <w:color w:val="000000"/>
          <w:sz w:val="22"/>
        </w:rPr>
        <w:t> </w:t>
      </w:r>
      <w:r>
        <w:rPr>
          <w:rFonts w:ascii="Times New Roman" w:hAnsi="Times New Roman"/>
          <w:b w:val="false"/>
          <w:i w:val="false"/>
          <w:color w:val="000000"/>
          <w:sz w:val="22"/>
        </w:rPr>
        <w:t xml:space="preserve">Access to and explanation of patient billings;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51.6(8)</w:t>
      </w:r>
      <w:r>
        <w:rPr>
          <w:rFonts w:ascii="Times New Roman" w:hAnsi="Times New Roman"/>
          <w:b w:val="false"/>
          <w:i w:val="false"/>
          <w:color w:val="000000"/>
          <w:sz w:val="22"/>
        </w:rPr>
        <w:t> </w:t>
      </w:r>
      <w:r>
        <w:rPr>
          <w:rFonts w:ascii="Times New Roman" w:hAnsi="Times New Roman"/>
          <w:b w:val="false"/>
          <w:i w:val="false"/>
          <w:color w:val="000000"/>
          <w:sz w:val="22"/>
        </w:rPr>
        <w:t>Process for patient pursuit of grievances; and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51.6(9)</w:t>
      </w:r>
      <w:r>
        <w:rPr>
          <w:rFonts w:ascii="Times New Roman" w:hAnsi="Times New Roman"/>
          <w:b w:val="false"/>
          <w:i w:val="false"/>
          <w:color w:val="000000"/>
          <w:sz w:val="22"/>
        </w:rPr>
        <w:t> </w:t>
      </w:r>
      <w:r>
        <w:rPr>
          <w:rFonts w:ascii="Times New Roman" w:hAnsi="Times New Roman"/>
          <w:b w:val="false"/>
          <w:i w:val="false"/>
          <w:color w:val="000000"/>
          <w:sz w:val="22"/>
        </w:rPr>
        <w:t>Patient responsibilities, including to provide accurate and complete information regarding the patient’s health status; to follow recommended treatment plans; to abide by hospital rules and regulations affecting patient care and conduct and be considerate of the rights of other patients and hospital personnel; and to fulfill the patient’s financial obligations as soon as possible following discharge.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7887C</w:t>
      </w:r>
      <w:r>
        <w:rPr>
          <w:rFonts w:ascii="Times New Roman" w:hAnsi="Times New Roman"/>
          <w:b w:val="false"/>
          <w:i w:val="false"/>
          <w:color w:val="000000"/>
          <w:sz w:val="16"/>
        </w:rPr>
        <w:t>, IAB 5/1/24, effective 6/5/24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481—51.7</w:t>
      </w:r>
      <w:r>
        <w:rPr>
          <w:rFonts w:ascii="Times New Roman" w:hAnsi="Times New Roman"/>
          <w:b/>
          <w:i w:val="false"/>
          <w:color w:val="000000"/>
          <w:sz w:val="22"/>
        </w:rPr>
        <w:t xml:space="preserve">(135B) </w:t>
      </w:r>
      <w:r>
        <w:rPr>
          <w:rFonts w:ascii="Times New Roman" w:hAnsi="Times New Roman"/>
          <w:b/>
          <w:i w:val="false"/>
          <w:color w:val="000000"/>
          <w:sz w:val="22"/>
        </w:rPr>
        <w:t xml:space="preserve">Abuse.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51.7(1)</w:t>
      </w:r>
      <w:r>
        <w:rPr>
          <w:rFonts w:ascii="Times New Roman" w:hAnsi="Times New Roman"/>
          <w:b w:val="false"/>
          <w:i w:val="false"/>
          <w:color w:val="000000"/>
          <w:sz w:val="22"/>
        </w:rPr>
        <w:t> </w:t>
      </w:r>
      <w:r>
        <w:rPr>
          <w:rFonts w:ascii="Times New Roman" w:hAnsi="Times New Roman"/>
          <w:b w:val="false"/>
          <w:i/>
          <w:color w:val="000000"/>
          <w:sz w:val="22"/>
        </w:rPr>
        <w:t xml:space="preserve">Definitions.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“Abuse”</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willful infliction of injury, unreasonable confinement, intimidation, or punishment, with resulting physical harm, pain or mental anguish. Neglect is a form of abuse and is defined as the failure to provide goods and services necessary to avoid physical harm, mental anguish, or mental illness.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“Child abuse”</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same as defined in Iowa Code section </w:t>
      </w:r>
      <w:hyperlink r:id="rId8">
        <w:r>
          <w:rPr>
            <w:rStyle w:val="Hyperlink"/>
            <w:rFonts w:ascii="Times New Roman" w:hAnsi="Times New Roman"/>
            <w:b w:val="false"/>
            <w:i w:val="false"/>
            <w:color w:val="000000"/>
            <w:sz w:val="22"/>
          </w:rPr>
          <w:t>232.68</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“Dependent adult abuse”</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same as defined in Iowa Code section </w:t>
      </w:r>
      <w:hyperlink r:id="rId9">
        <w:r>
          <w:rPr>
            <w:rStyle w:val="Hyperlink"/>
            <w:rFonts w:ascii="Times New Roman" w:hAnsi="Times New Roman"/>
            <w:b w:val="false"/>
            <w:i w:val="false"/>
            <w:color w:val="000000"/>
            <w:sz w:val="22"/>
          </w:rPr>
          <w:t>235E.1</w:t>
        </w:r>
      </w:hyperlink>
      <w:r>
        <w:rPr>
          <w:rFonts w:ascii="Times New Roman" w:hAnsi="Times New Roman"/>
          <w:b w:val="false"/>
          <w:i w:val="false"/>
          <w:color w:val="000000"/>
          <w:sz w:val="22"/>
        </w:rPr>
        <w:t xml:space="preserve"> and </w:t>
      </w:r>
      <w:hyperlink r:id="rId10">
        <w:r>
          <w:rPr>
            <w:rStyle w:val="Hyperlink"/>
            <w:rFonts w:ascii="Times New Roman" w:hAnsi="Times New Roman"/>
            <w:b w:val="false"/>
            <w:i w:val="false"/>
            <w:color w:val="000000"/>
            <w:sz w:val="22"/>
          </w:rPr>
          <w:t>481—Chapter 52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“Domestic abuse”</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same as defined in Iowa Code section </w:t>
      </w:r>
      <w:hyperlink r:id="rId11">
        <w:r>
          <w:rPr>
            <w:rStyle w:val="Hyperlink"/>
            <w:rFonts w:ascii="Times New Roman" w:hAnsi="Times New Roman"/>
            <w:b w:val="false"/>
            <w:i w:val="false"/>
            <w:color w:val="000000"/>
            <w:sz w:val="22"/>
          </w:rPr>
          <w:t>236.2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“Elder abuse”</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same as defined in Iowa Code section </w:t>
      </w:r>
      <w:hyperlink r:id="rId12">
        <w:r>
          <w:rPr>
            <w:rStyle w:val="Hyperlink"/>
            <w:rFonts w:ascii="Times New Roman" w:hAnsi="Times New Roman"/>
            <w:b w:val="false"/>
            <w:i w:val="false"/>
            <w:color w:val="000000"/>
            <w:sz w:val="22"/>
          </w:rPr>
          <w:t>235F.1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“Family or household members”</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same as defined in Iowa Code section </w:t>
      </w:r>
      <w:hyperlink r:id="rId13">
        <w:r>
          <w:rPr>
            <w:rStyle w:val="Hyperlink"/>
            <w:rFonts w:ascii="Times New Roman" w:hAnsi="Times New Roman"/>
            <w:b w:val="false"/>
            <w:i w:val="false"/>
            <w:color w:val="000000"/>
            <w:sz w:val="22"/>
          </w:rPr>
          <w:t>236.2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51.7(2)</w:t>
      </w:r>
      <w:r>
        <w:rPr>
          <w:rFonts w:ascii="Times New Roman" w:hAnsi="Times New Roman"/>
          <w:b w:val="false"/>
          <w:i w:val="false"/>
          <w:color w:val="000000"/>
          <w:sz w:val="22"/>
        </w:rPr>
        <w:t> </w:t>
      </w:r>
      <w:r>
        <w:rPr>
          <w:rFonts w:ascii="Times New Roman" w:hAnsi="Times New Roman"/>
          <w:b w:val="false"/>
          <w:i/>
          <w:color w:val="000000"/>
          <w:sz w:val="22"/>
        </w:rPr>
        <w:t xml:space="preserve">Abuse prohibited. </w:t>
      </w:r>
      <w:r>
        <w:rPr>
          <w:rFonts w:ascii="Times New Roman" w:hAnsi="Times New Roman"/>
          <w:b w:val="false"/>
          <w:i w:val="false"/>
          <w:color w:val="000000"/>
          <w:sz w:val="22"/>
        </w:rPr>
        <w:t>Each patient shall receive kind and considerate care at all times and shall be free from all forms of abuse or harassment.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Restraints shall be applied only when they are necessary to prevent injury to the patient or to others and shall be used only when alternative measures are not sufficient to accomplish their purposes.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There must be a written order signed by the attending physician approving the use of restraints either at the time they are applied or as soon thereafter as possible.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Careful consideration shall be given to the methods by which the restraints can be speedily removed in case of fire or other emergency.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51.7(3)</w:t>
      </w:r>
      <w:r>
        <w:rPr>
          <w:rFonts w:ascii="Times New Roman" w:hAnsi="Times New Roman"/>
          <w:b w:val="false"/>
          <w:i w:val="false"/>
          <w:color w:val="000000"/>
          <w:sz w:val="22"/>
        </w:rPr>
        <w:t> </w:t>
      </w:r>
      <w:r>
        <w:rPr>
          <w:rFonts w:ascii="Times New Roman" w:hAnsi="Times New Roman"/>
          <w:b w:val="false"/>
          <w:i/>
          <w:color w:val="000000"/>
          <w:sz w:val="22"/>
        </w:rPr>
        <w:t xml:space="preserve">Hospital response to elder abuse.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Each hospital shall establish and implement policies and procedures with respect to victims of elder abuse that, at a minimum, provide for: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An interview with the victim in a place that ensures privacy;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Confidentiality of the person’s treatment and information;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Education of appropriate emergency department staff to assist in the identification of victims of elder abuse.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treatment records of victims of elder abuse shall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An assessment of the extent of abuse to the victim specifically describing the location and extent of the injury and reported pain;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record of the treatment and intervention by health care provider personnel;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 record of the need for follow-up care and specification of the follow-up care to be given (e.g., X-rays, surgery, consultation, similar care);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victim’s statement of how the injury occurred.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51.7(4)</w:t>
      </w:r>
      <w:r>
        <w:rPr>
          <w:rFonts w:ascii="Times New Roman" w:hAnsi="Times New Roman"/>
          <w:b w:val="false"/>
          <w:i w:val="false"/>
          <w:color w:val="000000"/>
          <w:sz w:val="22"/>
        </w:rPr>
        <w:t> </w:t>
      </w:r>
      <w:r>
        <w:rPr>
          <w:rFonts w:ascii="Times New Roman" w:hAnsi="Times New Roman"/>
          <w:b w:val="false"/>
          <w:i/>
          <w:color w:val="000000"/>
          <w:sz w:val="22"/>
        </w:rPr>
        <w:t xml:space="preserve">Hospital response to domestic abuse. </w:t>
      </w:r>
      <w:r>
        <w:rPr>
          <w:rFonts w:ascii="Times New Roman" w:hAnsi="Times New Roman"/>
          <w:b w:val="false"/>
          <w:i w:val="false"/>
          <w:color w:val="000000"/>
          <w:sz w:val="22"/>
        </w:rPr>
        <w:t xml:space="preserve">Each hospital shall establish and implement policies and procedures with respect to victims of domestic abuse that, at a minimum, meet the requirements of paragraph </w:t>
      </w:r>
      <w:hyperlink r:id="rId14">
        <w:r>
          <w:rPr>
            <w:rStyle w:val="Hyperlink"/>
            <w:rFonts w:ascii="Times New Roman" w:hAnsi="Times New Roman"/>
            <w:b w:val="false"/>
            <w:i w:val="false"/>
            <w:color w:val="000000"/>
            <w:sz w:val="22"/>
          </w:rPr>
          <w:t>51.7(3)</w:t>
        </w:r>
      </w:hyperlink>
      <w:r>
        <w:rPr>
          <w:rFonts w:ascii="Times New Roman" w:hAnsi="Times New Roman"/>
          <w:b w:val="false"/>
          <w:i/>
          <w:color w:val="000000"/>
          <w:sz w:val="22"/>
        </w:rPr>
        <w:t>“a,”</w:t>
      </w:r>
      <w:r>
        <w:rPr>
          <w:rFonts w:ascii="Times New Roman" w:hAnsi="Times New Roman"/>
          <w:b w:val="false"/>
          <w:i w:val="false"/>
          <w:color w:val="000000"/>
          <w:sz w:val="22"/>
        </w:rPr>
        <w:t xml:space="preserve"> and also provide for sharing information regarding the domestic abuse hotline and programs. The treatment records of victims of domestic abuse shall meet the requirements of paragraph </w:t>
      </w:r>
      <w:hyperlink r:id="rId15">
        <w:r>
          <w:rPr>
            <w:rStyle w:val="Hyperlink"/>
            <w:rFonts w:ascii="Times New Roman" w:hAnsi="Times New Roman"/>
            <w:b w:val="false"/>
            <w:i w:val="false"/>
            <w:color w:val="000000"/>
            <w:sz w:val="22"/>
          </w:rPr>
          <w:t>51.7(3)</w:t>
        </w:r>
      </w:hyperlink>
      <w:r>
        <w:rPr>
          <w:rFonts w:ascii="Times New Roman" w:hAnsi="Times New Roman"/>
          <w:b w:val="false"/>
          <w:i/>
          <w:color w:val="000000"/>
          <w:sz w:val="22"/>
        </w:rPr>
        <w:t>“b”</w:t>
      </w:r>
      <w:r>
        <w:rPr>
          <w:rFonts w:ascii="Times New Roman" w:hAnsi="Times New Roman"/>
          <w:b w:val="false"/>
          <w:i w:val="false"/>
          <w:color w:val="000000"/>
          <w:sz w:val="22"/>
        </w:rPr>
        <w:t xml:space="preserve"> and also include evidence that the victim was informed of the telephone numbers for the domestic abuse hotline and domestic abuse programs and the victim’s response.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51.7(5)</w:t>
      </w:r>
      <w:r>
        <w:rPr>
          <w:rFonts w:ascii="Times New Roman" w:hAnsi="Times New Roman"/>
          <w:b w:val="false"/>
          <w:i w:val="false"/>
          <w:color w:val="000000"/>
          <w:sz w:val="22"/>
        </w:rPr>
        <w:t> </w:t>
      </w:r>
      <w:r>
        <w:rPr>
          <w:rFonts w:ascii="Times New Roman" w:hAnsi="Times New Roman"/>
          <w:b w:val="false"/>
          <w:i/>
          <w:color w:val="000000"/>
          <w:sz w:val="22"/>
        </w:rPr>
        <w:t xml:space="preserve">Mandatory reporting of child abuse and dependent adult abuse. </w:t>
      </w:r>
      <w:r>
        <w:rPr>
          <w:rFonts w:ascii="Times New Roman" w:hAnsi="Times New Roman"/>
          <w:b w:val="false"/>
          <w:i w:val="false"/>
          <w:color w:val="000000"/>
          <w:sz w:val="22"/>
        </w:rPr>
        <w:t>Each hospital shall establish and implement policies and procedures with respect to the mandatory reporting of abuse pursuant to the Iowa Code. The treatment records of victims of child abuse or dependent adult abuse shall indicate that the department of health and human services’ protective services was contacted.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7887C</w:t>
      </w:r>
      <w:r>
        <w:rPr>
          <w:rFonts w:ascii="Times New Roman" w:hAnsi="Times New Roman"/>
          <w:b w:val="false"/>
          <w:i w:val="false"/>
          <w:color w:val="000000"/>
          <w:sz w:val="16"/>
        </w:rPr>
        <w:t>, IAB 5/1/24, effective 6/5/24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481—51.8</w:t>
      </w:r>
      <w:r>
        <w:rPr>
          <w:rFonts w:ascii="Times New Roman" w:hAnsi="Times New Roman"/>
          <w:b/>
          <w:i w:val="false"/>
          <w:color w:val="000000"/>
          <w:sz w:val="22"/>
        </w:rPr>
        <w:t xml:space="preserve">(135B) </w:t>
      </w:r>
      <w:r>
        <w:rPr>
          <w:rFonts w:ascii="Times New Roman" w:hAnsi="Times New Roman"/>
          <w:b/>
          <w:i w:val="false"/>
          <w:color w:val="000000"/>
          <w:sz w:val="22"/>
        </w:rPr>
        <w:t xml:space="preserve">Organ, tissue and eye procurement. </w:t>
      </w:r>
      <w:r>
        <w:rPr>
          <w:rFonts w:ascii="Times New Roman" w:hAnsi="Times New Roman"/>
          <w:b w:val="false"/>
          <w:i w:val="false"/>
          <w:color w:val="000000"/>
          <w:sz w:val="22"/>
        </w:rPr>
        <w:t xml:space="preserve">Each hospital shall have written policies and protocols for organ, tissue and eye donation consistent with Iowa Code chapter </w:t>
      </w:r>
      <w:hyperlink r:id="rId16">
        <w:r>
          <w:rPr>
            <w:rStyle w:val="Hyperlink"/>
            <w:rFonts w:ascii="Times New Roman" w:hAnsi="Times New Roman"/>
            <w:b w:val="false"/>
            <w:i w:val="false"/>
            <w:color w:val="000000"/>
            <w:sz w:val="22"/>
          </w:rPr>
          <w:t>142C</w:t>
        </w:r>
      </w:hyperlink>
      <w:r>
        <w:rPr>
          <w:rFonts w:ascii="Times New Roman" w:hAnsi="Times New Roman"/>
          <w:b w:val="false"/>
          <w:i w:val="false"/>
          <w:color w:val="000000"/>
          <w:sz w:val="22"/>
        </w:rPr>
        <w:t xml:space="preserve"> and 42 CFR 482.45 as amended to November 7, 2023, or 42 CFR 485.643 as amended to November 7, 2023.</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7887C</w:t>
      </w:r>
      <w:r>
        <w:rPr>
          <w:rFonts w:ascii="Times New Roman" w:hAnsi="Times New Roman"/>
          <w:b w:val="false"/>
          <w:i w:val="false"/>
          <w:color w:val="000000"/>
          <w:sz w:val="16"/>
        </w:rPr>
        <w:t>, IAB 5/1/24, effective 6/5/24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481—51.9</w:t>
      </w:r>
      <w:r>
        <w:rPr>
          <w:rFonts w:ascii="Times New Roman" w:hAnsi="Times New Roman"/>
          <w:b/>
          <w:i w:val="false"/>
          <w:color w:val="000000"/>
          <w:sz w:val="22"/>
        </w:rPr>
        <w:t xml:space="preserve">(135B) </w:t>
      </w:r>
      <w:r>
        <w:rPr>
          <w:rFonts w:ascii="Times New Roman" w:hAnsi="Times New Roman"/>
          <w:b/>
          <w:i w:val="false"/>
          <w:color w:val="000000"/>
          <w:sz w:val="22"/>
        </w:rPr>
        <w:t xml:space="preserve">Nursing services.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51.9(1)</w:t>
      </w:r>
      <w:r>
        <w:rPr>
          <w:rFonts w:ascii="Times New Roman" w:hAnsi="Times New Roman"/>
          <w:b w:val="false"/>
          <w:i w:val="false"/>
          <w:color w:val="000000"/>
          <w:sz w:val="22"/>
        </w:rPr>
        <w:t> </w:t>
      </w:r>
      <w:r>
        <w:rPr>
          <w:rFonts w:ascii="Times New Roman" w:hAnsi="Times New Roman"/>
          <w:b w:val="false"/>
          <w:i w:val="false"/>
          <w:color w:val="000000"/>
          <w:sz w:val="22"/>
        </w:rPr>
        <w:t>The hospital shall have an organized nursing service that provides complete and efficient nursing care to each patient. The authority, responsibility and function of each nurse shall be clearly defined.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51.9(2)</w:t>
      </w:r>
      <w:r>
        <w:rPr>
          <w:rFonts w:ascii="Times New Roman" w:hAnsi="Times New Roman"/>
          <w:b w:val="false"/>
          <w:i w:val="false"/>
          <w:color w:val="000000"/>
          <w:sz w:val="22"/>
        </w:rPr>
        <w:t> </w:t>
      </w:r>
      <w:r>
        <w:rPr>
          <w:rFonts w:ascii="Times New Roman" w:hAnsi="Times New Roman"/>
          <w:b w:val="false"/>
          <w:i w:val="false"/>
          <w:color w:val="000000"/>
          <w:sz w:val="22"/>
        </w:rPr>
        <w:t>Registered nurses shall utilize the nursing process in the practice of nursing, consistent with accepted and prevailing practice. The nursing process is ongoing and includes: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Nursing assessments about the health status of an individual or group.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Formulation of a nursing diagnosis based on analysis of the data from the nursing assessment.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Planning of nursing care, which includes determining goals and priorities for actions that are based on the nursing diagnosis.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Nursing interventions implementing the plan of care.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Evaluation of the individual’s or group’s status in relation to established goals and the plan of care.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51.9(3)</w:t>
      </w:r>
      <w:r>
        <w:rPr>
          <w:rFonts w:ascii="Times New Roman" w:hAnsi="Times New Roman"/>
          <w:b w:val="false"/>
          <w:i w:val="false"/>
          <w:color w:val="000000"/>
          <w:sz w:val="22"/>
        </w:rPr>
        <w:t> </w:t>
      </w:r>
      <w:r>
        <w:rPr>
          <w:rFonts w:ascii="Times New Roman" w:hAnsi="Times New Roman"/>
          <w:b w:val="false"/>
          <w:i w:val="false"/>
          <w:color w:val="000000"/>
          <w:sz w:val="22"/>
        </w:rPr>
        <w:t xml:space="preserve">A licensed practical nurse(s) may participate in the nursing process as described in </w:t>
      </w:r>
      <w:hyperlink r:id="rId17">
        <w:r>
          <w:rPr>
            <w:rStyle w:val="Hyperlink"/>
            <w:rFonts w:ascii="Times New Roman" w:hAnsi="Times New Roman"/>
            <w:b w:val="false"/>
            <w:i w:val="false"/>
            <w:color w:val="000000"/>
            <w:sz w:val="22"/>
          </w:rPr>
          <w:t>subrule 51.9(2)</w:t>
        </w:r>
      </w:hyperlink>
      <w:r>
        <w:rPr>
          <w:rFonts w:ascii="Times New Roman" w:hAnsi="Times New Roman"/>
          <w:b w:val="false"/>
          <w:i w:val="false"/>
          <w:color w:val="000000"/>
          <w:sz w:val="22"/>
        </w:rPr>
        <w:t xml:space="preserve"> consistent with accepted practice by assisting the registered nurse or physician.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51.9(4)</w:t>
      </w:r>
      <w:r>
        <w:rPr>
          <w:rFonts w:ascii="Times New Roman" w:hAnsi="Times New Roman"/>
          <w:b w:val="false"/>
          <w:i w:val="false"/>
          <w:color w:val="000000"/>
          <w:sz w:val="22"/>
        </w:rPr>
        <w:t> </w:t>
      </w:r>
      <w:r>
        <w:rPr>
          <w:rFonts w:ascii="Times New Roman" w:hAnsi="Times New Roman"/>
          <w:b w:val="false"/>
          <w:i w:val="false"/>
          <w:color w:val="000000"/>
          <w:sz w:val="22"/>
        </w:rPr>
        <w:t xml:space="preserve">All nurses employed in a hospital who practice nursing as a registered nurse or licensed practical nurse shall hold an active Iowa license or hold an active license in another state and be recognized for licensure in this state pursuant to the nurse licensure compact in Iowa Code section </w:t>
      </w:r>
      <w:hyperlink r:id="rId18">
        <w:r>
          <w:rPr>
            <w:rStyle w:val="Hyperlink"/>
            <w:rFonts w:ascii="Times New Roman" w:hAnsi="Times New Roman"/>
            <w:b w:val="false"/>
            <w:i w:val="false"/>
            <w:color w:val="000000"/>
            <w:sz w:val="22"/>
          </w:rPr>
          <w:t>152E.1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51.9(5)</w:t>
      </w:r>
      <w:r>
        <w:rPr>
          <w:rFonts w:ascii="Times New Roman" w:hAnsi="Times New Roman"/>
          <w:b w:val="false"/>
          <w:i w:val="false"/>
          <w:color w:val="000000"/>
          <w:sz w:val="22"/>
        </w:rPr>
        <w:t> </w:t>
      </w:r>
      <w:r>
        <w:rPr>
          <w:rFonts w:ascii="Times New Roman" w:hAnsi="Times New Roman"/>
          <w:b w:val="false"/>
          <w:i w:val="false"/>
          <w:color w:val="000000"/>
          <w:sz w:val="22"/>
        </w:rPr>
        <w:t xml:space="preserve">There shall be a director of nursing service with administrative and executive competency who holds an active Iowa license or holds an active license in another state and is recognized for licensure in this state pursuant to the nurse licensure compact in Iowa Code section </w:t>
      </w:r>
      <w:hyperlink r:id="rId19">
        <w:r>
          <w:rPr>
            <w:rStyle w:val="Hyperlink"/>
            <w:rFonts w:ascii="Times New Roman" w:hAnsi="Times New Roman"/>
            <w:b w:val="false"/>
            <w:i w:val="false"/>
            <w:color w:val="000000"/>
            <w:sz w:val="22"/>
          </w:rPr>
          <w:t>152E.1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51.9(6)</w:t>
      </w:r>
      <w:r>
        <w:rPr>
          <w:rFonts w:ascii="Times New Roman" w:hAnsi="Times New Roman"/>
          <w:b w:val="false"/>
          <w:i w:val="false"/>
          <w:color w:val="000000"/>
          <w:sz w:val="22"/>
        </w:rPr>
        <w:t> </w:t>
      </w:r>
      <w:r>
        <w:rPr>
          <w:rFonts w:ascii="Times New Roman" w:hAnsi="Times New Roman"/>
          <w:b w:val="false"/>
          <w:i w:val="false"/>
          <w:color w:val="000000"/>
          <w:sz w:val="22"/>
        </w:rPr>
        <w:t>Nursing management shall have had preparation courses and experience in accordance with hospital policy commensurate with the responsibility of the specific assignment.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51.9(7)</w:t>
      </w:r>
      <w:r>
        <w:rPr>
          <w:rFonts w:ascii="Times New Roman" w:hAnsi="Times New Roman"/>
          <w:b w:val="false"/>
          <w:i w:val="false"/>
          <w:color w:val="000000"/>
          <w:sz w:val="22"/>
        </w:rPr>
        <w:t> </w:t>
      </w:r>
      <w:r>
        <w:rPr>
          <w:rFonts w:ascii="Times New Roman" w:hAnsi="Times New Roman"/>
          <w:b w:val="false"/>
          <w:i w:val="false"/>
          <w:color w:val="000000"/>
          <w:sz w:val="22"/>
        </w:rPr>
        <w:t>All unlicensed personnel performing patient-care service shall be under the supervision of a registered nurse, have duties defined in writing by the hospital, and be instructed in all duties assigned to them.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51.9(8)</w:t>
      </w:r>
      <w:r>
        <w:rPr>
          <w:rFonts w:ascii="Times New Roman" w:hAnsi="Times New Roman"/>
          <w:b w:val="false"/>
          <w:i w:val="false"/>
          <w:color w:val="000000"/>
          <w:sz w:val="22"/>
        </w:rPr>
        <w:t> </w:t>
      </w:r>
      <w:r>
        <w:rPr>
          <w:rFonts w:ascii="Times New Roman" w:hAnsi="Times New Roman"/>
          <w:b w:val="false"/>
          <w:i w:val="false"/>
          <w:color w:val="000000"/>
          <w:sz w:val="22"/>
        </w:rPr>
        <w:t>The nursing service shall have adequate numbers of licensed registered nurses, licensed practical nurses, and other personnel to provide nursing care essential for the proper treatment, well-being, and recovery of the patient.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51.9(9)</w:t>
      </w:r>
      <w:r>
        <w:rPr>
          <w:rFonts w:ascii="Times New Roman" w:hAnsi="Times New Roman"/>
          <w:b w:val="false"/>
          <w:i w:val="false"/>
          <w:color w:val="000000"/>
          <w:sz w:val="22"/>
        </w:rPr>
        <w:t> </w:t>
      </w:r>
      <w:r>
        <w:rPr>
          <w:rFonts w:ascii="Times New Roman" w:hAnsi="Times New Roman"/>
          <w:b w:val="false"/>
          <w:i w:val="false"/>
          <w:color w:val="000000"/>
          <w:sz w:val="22"/>
        </w:rPr>
        <w:t>Written policies and procedures shall be established for the administrative and technical guidance of the personnel in the hospital. Each employee shall be familiar with these policies and procedures.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51.9(10)</w:t>
      </w:r>
      <w:r>
        <w:rPr>
          <w:rFonts w:ascii="Times New Roman" w:hAnsi="Times New Roman"/>
          <w:b w:val="false"/>
          <w:i w:val="false"/>
          <w:color w:val="000000"/>
          <w:sz w:val="22"/>
        </w:rPr>
        <w:t> </w:t>
      </w:r>
      <w:r>
        <w:rPr>
          <w:rFonts w:ascii="Times New Roman" w:hAnsi="Times New Roman"/>
          <w:b w:val="false"/>
          <w:i w:val="false"/>
          <w:color w:val="000000"/>
          <w:sz w:val="22"/>
        </w:rPr>
        <w:t>Each hospital shall have a minimum of one registered nurse on duty at all times.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7887C</w:t>
      </w:r>
      <w:r>
        <w:rPr>
          <w:rFonts w:ascii="Times New Roman" w:hAnsi="Times New Roman"/>
          <w:b w:val="false"/>
          <w:i w:val="false"/>
          <w:color w:val="000000"/>
          <w:sz w:val="16"/>
        </w:rPr>
        <w:t>, IAB 5/1/24, effective 6/5/24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481—51.10</w:t>
      </w:r>
      <w:r>
        <w:rPr>
          <w:rFonts w:ascii="Times New Roman" w:hAnsi="Times New Roman"/>
          <w:b/>
          <w:i w:val="false"/>
          <w:color w:val="000000"/>
          <w:sz w:val="22"/>
        </w:rPr>
        <w:t xml:space="preserve">(135B) </w:t>
      </w:r>
      <w:r>
        <w:rPr>
          <w:rFonts w:ascii="Times New Roman" w:hAnsi="Times New Roman"/>
          <w:b/>
          <w:i w:val="false"/>
          <w:color w:val="000000"/>
          <w:sz w:val="22"/>
        </w:rPr>
        <w:t xml:space="preserve">Records and reports.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51.10(1)</w:t>
      </w:r>
      <w:r>
        <w:rPr>
          <w:rFonts w:ascii="Times New Roman" w:hAnsi="Times New Roman"/>
          <w:b w:val="false"/>
          <w:i w:val="false"/>
          <w:color w:val="000000"/>
          <w:sz w:val="22"/>
        </w:rPr>
        <w:t> </w:t>
      </w:r>
      <w:r>
        <w:rPr>
          <w:rFonts w:ascii="Times New Roman" w:hAnsi="Times New Roman"/>
          <w:b w:val="false"/>
          <w:i/>
          <w:color w:val="000000"/>
          <w:sz w:val="22"/>
        </w:rPr>
        <w:t xml:space="preserve">Medical records. </w:t>
      </w:r>
      <w:r>
        <w:rPr>
          <w:rFonts w:ascii="Times New Roman" w:hAnsi="Times New Roman"/>
          <w:b w:val="false"/>
          <w:i w:val="false"/>
          <w:color w:val="000000"/>
          <w:sz w:val="22"/>
        </w:rPr>
        <w:t xml:space="preserve">Accurate and complete medical records shall be maintained for all patients and signed by the appropriate provider. These records shall be filed and stored in an accessible manner and in accordance with the statute of limitations as specified in Iowa Code chapter </w:t>
      </w:r>
      <w:hyperlink r:id="rId20">
        <w:r>
          <w:rPr>
            <w:rStyle w:val="Hyperlink"/>
            <w:rFonts w:ascii="Times New Roman" w:hAnsi="Times New Roman"/>
            <w:b w:val="false"/>
            <w:i w:val="false"/>
            <w:color w:val="000000"/>
            <w:sz w:val="22"/>
          </w:rPr>
          <w:t>614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51.10(2)</w:t>
      </w:r>
      <w:r>
        <w:rPr>
          <w:rFonts w:ascii="Times New Roman" w:hAnsi="Times New Roman"/>
          <w:b w:val="false"/>
          <w:i w:val="false"/>
          <w:color w:val="000000"/>
          <w:sz w:val="22"/>
        </w:rPr>
        <w:t> </w:t>
      </w:r>
      <w:r>
        <w:rPr>
          <w:rFonts w:ascii="Times New Roman" w:hAnsi="Times New Roman"/>
          <w:b w:val="false"/>
          <w:i/>
          <w:color w:val="000000"/>
          <w:sz w:val="22"/>
        </w:rPr>
        <w:t xml:space="preserve">Hospital records. </w:t>
      </w:r>
      <w:r>
        <w:rPr>
          <w:rFonts w:ascii="Times New Roman" w:hAnsi="Times New Roman"/>
          <w:b w:val="false"/>
          <w:i w:val="false"/>
          <w:color w:val="000000"/>
          <w:sz w:val="22"/>
        </w:rPr>
        <w:t>A hospital shall maintain the following records: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Admission records. </w:t>
      </w:r>
      <w:r>
        <w:rPr>
          <w:rFonts w:ascii="Times New Roman" w:hAnsi="Times New Roman"/>
          <w:b w:val="false"/>
          <w:i w:val="false"/>
          <w:color w:val="000000"/>
          <w:sz w:val="22"/>
        </w:rPr>
        <w:t>A register of all admissions to the hospital.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Death records. </w:t>
      </w:r>
      <w:r>
        <w:rPr>
          <w:rFonts w:ascii="Times New Roman" w:hAnsi="Times New Roman"/>
          <w:b w:val="false"/>
          <w:i w:val="false"/>
          <w:color w:val="000000"/>
          <w:sz w:val="22"/>
        </w:rPr>
        <w:t xml:space="preserve">A record of all deaths in the hospital, including all information on a standard death certificate as specified in Iowa Code chapter </w:t>
      </w:r>
      <w:hyperlink r:id="rId21">
        <w:r>
          <w:rPr>
            <w:rStyle w:val="Hyperlink"/>
            <w:rFonts w:ascii="Times New Roman" w:hAnsi="Times New Roman"/>
            <w:b w:val="false"/>
            <w:i w:val="false"/>
            <w:color w:val="000000"/>
            <w:sz w:val="22"/>
          </w:rPr>
          <w:t>144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Birth records. </w:t>
      </w:r>
      <w:r>
        <w:rPr>
          <w:rFonts w:ascii="Times New Roman" w:hAnsi="Times New Roman"/>
          <w:b w:val="false"/>
          <w:i w:val="false"/>
          <w:color w:val="000000"/>
          <w:sz w:val="22"/>
        </w:rPr>
        <w:t xml:space="preserve">A record of all births in the hospital, including all information on a standard birth certificate as specified in Iowa Code chapter </w:t>
      </w:r>
      <w:hyperlink r:id="rId22">
        <w:r>
          <w:rPr>
            <w:rStyle w:val="Hyperlink"/>
            <w:rFonts w:ascii="Times New Roman" w:hAnsi="Times New Roman"/>
            <w:b w:val="false"/>
            <w:i w:val="false"/>
            <w:color w:val="000000"/>
            <w:sz w:val="22"/>
          </w:rPr>
          <w:t>144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Controlled substance records. </w:t>
      </w:r>
      <w:r>
        <w:rPr>
          <w:rFonts w:ascii="Times New Roman" w:hAnsi="Times New Roman"/>
          <w:b w:val="false"/>
          <w:i w:val="false"/>
          <w:color w:val="000000"/>
          <w:sz w:val="22"/>
        </w:rPr>
        <w:t>Controlled substance records in accordance with state and federal laws, rules and regulations.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51.10(3)</w:t>
      </w:r>
      <w:r>
        <w:rPr>
          <w:rFonts w:ascii="Times New Roman" w:hAnsi="Times New Roman"/>
          <w:b w:val="false"/>
          <w:i w:val="false"/>
          <w:color w:val="000000"/>
          <w:sz w:val="22"/>
        </w:rPr>
        <w:t> </w:t>
      </w:r>
      <w:r>
        <w:rPr>
          <w:rFonts w:ascii="Times New Roman" w:hAnsi="Times New Roman"/>
          <w:b w:val="false"/>
          <w:i/>
          <w:color w:val="000000"/>
          <w:sz w:val="22"/>
        </w:rPr>
        <w:t xml:space="preserve">Electronic records. </w:t>
      </w:r>
      <w:r>
        <w:rPr>
          <w:rFonts w:ascii="Times New Roman" w:hAnsi="Times New Roman"/>
          <w:b w:val="false"/>
          <w:i w:val="false"/>
          <w:color w:val="000000"/>
          <w:sz w:val="22"/>
        </w:rPr>
        <w:t xml:space="preserve">In addition to the access provided in </w:t>
      </w:r>
      <w:hyperlink r:id="rId23">
        <w:r>
          <w:rPr>
            <w:rStyle w:val="Hyperlink"/>
            <w:rFonts w:ascii="Times New Roman" w:hAnsi="Times New Roman"/>
            <w:b w:val="false"/>
            <w:i w:val="false"/>
            <w:color w:val="000000"/>
            <w:sz w:val="22"/>
          </w:rPr>
          <w:t>481—subrule 50.10(2)</w:t>
        </w:r>
      </w:hyperlink>
      <w:r>
        <w:rPr>
          <w:rFonts w:ascii="Times New Roman" w:hAnsi="Times New Roman"/>
          <w:b w:val="false"/>
          <w:i w:val="false"/>
          <w:color w:val="000000"/>
          <w:sz w:val="22"/>
        </w:rPr>
        <w:t>, an authorized representative of the department shall be provided unrestricted access to electronic records pertaining to the care provided to the patients of the hospital.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If access to an electronic record is requested by the authorized representative of the department, the hospital may provide a tutorial on how to use its particular electronic system or may designate an individual who will, when requested, access the system, respond to any questions or assist the authorized representative as needed in accessing electronic information in a timely fashion.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hospital shall provide a terminal where the authorized representative may access records.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If the hospital is unable to provide direct print capability to the authorized representative, the hospital shall make available a printout of any record or part of a record on request in a time frame that does not intentionally prevent or interfere with the department’s survey or investigation.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7887C</w:t>
      </w:r>
      <w:r>
        <w:rPr>
          <w:rFonts w:ascii="Times New Roman" w:hAnsi="Times New Roman"/>
          <w:b w:val="false"/>
          <w:i w:val="false"/>
          <w:color w:val="000000"/>
          <w:sz w:val="16"/>
        </w:rPr>
        <w:t>, IAB 5/1/24, effective 6/5/24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481—51.11</w:t>
      </w:r>
      <w:r>
        <w:rPr>
          <w:rFonts w:ascii="Times New Roman" w:hAnsi="Times New Roman"/>
          <w:b/>
          <w:i w:val="false"/>
          <w:color w:val="000000"/>
          <w:sz w:val="22"/>
        </w:rPr>
        <w:t xml:space="preserve">(135B) </w:t>
      </w:r>
      <w:r>
        <w:rPr>
          <w:rFonts w:ascii="Times New Roman" w:hAnsi="Times New Roman"/>
          <w:b/>
          <w:i w:val="false"/>
          <w:color w:val="000000"/>
          <w:sz w:val="22"/>
        </w:rPr>
        <w:t xml:space="preserve">Pharmaceutical service.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51.11(1)</w:t>
      </w:r>
      <w:r>
        <w:rPr>
          <w:rFonts w:ascii="Times New Roman" w:hAnsi="Times New Roman"/>
          <w:b w:val="false"/>
          <w:i w:val="false"/>
          <w:color w:val="000000"/>
          <w:sz w:val="22"/>
        </w:rPr>
        <w:t> </w:t>
      </w:r>
      <w:r>
        <w:rPr>
          <w:rFonts w:ascii="Times New Roman" w:hAnsi="Times New Roman"/>
          <w:b w:val="false"/>
          <w:i/>
          <w:color w:val="000000"/>
          <w:sz w:val="22"/>
        </w:rPr>
        <w:t xml:space="preserve">General requirements. </w:t>
      </w:r>
      <w:r>
        <w:rPr>
          <w:rFonts w:ascii="Times New Roman" w:hAnsi="Times New Roman"/>
          <w:b w:val="false"/>
          <w:i w:val="false"/>
          <w:color w:val="000000"/>
          <w:sz w:val="22"/>
        </w:rPr>
        <w:t>Hospital pharmaceutical services shall be licensed in accordance with Iowa board of pharmacy rules.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51.11(2)</w:t>
      </w:r>
      <w:r>
        <w:rPr>
          <w:rFonts w:ascii="Times New Roman" w:hAnsi="Times New Roman"/>
          <w:b w:val="false"/>
          <w:i w:val="false"/>
          <w:color w:val="000000"/>
          <w:sz w:val="22"/>
        </w:rPr>
        <w:t> </w:t>
      </w:r>
      <w:r>
        <w:rPr>
          <w:rFonts w:ascii="Times New Roman" w:hAnsi="Times New Roman"/>
          <w:b w:val="false"/>
          <w:i/>
          <w:color w:val="000000"/>
          <w:sz w:val="22"/>
        </w:rPr>
        <w:t xml:space="preserve">Medication administration. </w:t>
      </w:r>
      <w:r>
        <w:rPr>
          <w:rFonts w:ascii="Times New Roman" w:hAnsi="Times New Roman"/>
          <w:b w:val="false"/>
          <w:i w:val="false"/>
          <w:color w:val="000000"/>
          <w:sz w:val="22"/>
        </w:rPr>
        <w:t>All drugs and biologicals must be administered by, or under the supervision of, nursing or other trained personnel in accordance with hospital policies and procedures. The person assigned the responsibility of medication administration must complete the entire procedure by personally preparing the dose from a multiple-dose container or using a prepackaged unit dose, personally administering it to the patient, and observing the act of the medication being taken.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51.11(3)</w:t>
      </w:r>
      <w:r>
        <w:rPr>
          <w:rFonts w:ascii="Times New Roman" w:hAnsi="Times New Roman"/>
          <w:b w:val="false"/>
          <w:i w:val="false"/>
          <w:color w:val="000000"/>
          <w:sz w:val="22"/>
        </w:rPr>
        <w:t> </w:t>
      </w:r>
      <w:r>
        <w:rPr>
          <w:rFonts w:ascii="Times New Roman" w:hAnsi="Times New Roman"/>
          <w:b w:val="false"/>
          <w:i/>
          <w:color w:val="000000"/>
          <w:sz w:val="22"/>
        </w:rPr>
        <w:t xml:space="preserve">Standing orders. </w:t>
      </w:r>
      <w:r>
        <w:rPr>
          <w:rFonts w:ascii="Times New Roman" w:hAnsi="Times New Roman"/>
          <w:b w:val="false"/>
          <w:i w:val="false"/>
          <w:color w:val="000000"/>
          <w:sz w:val="22"/>
        </w:rPr>
        <w:t>Standing orders for drugs may be used for specified patients when authorized by the prescribing practitioner. These standing orders shall be in accordance with policies and procedures established by the appropriate committee within each hospital. At a minimum, the standing orders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Specify the clinical situations under which the drug is to be administered;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Specify the types of medical conditions of the patients for whom the standing orders are intended;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Be reviewed and revised by the hospital’s pharmacy and therapeutics or similar committee on a regular basis as specified by hospital policies and procedures;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Be specific as to the drug, dosage, route, and frequency of administration;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Be dated, authorized by signature or other secure electronic method by the prescribing practitioner within a period not to exceed 30 days following a patient’s discharge, and included in the patient’s medical record.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51.11(4)</w:t>
      </w:r>
      <w:r>
        <w:rPr>
          <w:rFonts w:ascii="Times New Roman" w:hAnsi="Times New Roman"/>
          <w:b w:val="false"/>
          <w:i w:val="false"/>
          <w:color w:val="000000"/>
          <w:sz w:val="22"/>
        </w:rPr>
        <w:t> </w:t>
      </w:r>
      <w:r>
        <w:rPr>
          <w:rFonts w:ascii="Times New Roman" w:hAnsi="Times New Roman"/>
          <w:b w:val="false"/>
          <w:i/>
          <w:color w:val="000000"/>
          <w:sz w:val="22"/>
        </w:rPr>
        <w:t xml:space="preserve">Self-administration of medications. </w:t>
      </w:r>
      <w:r>
        <w:rPr>
          <w:rFonts w:ascii="Times New Roman" w:hAnsi="Times New Roman"/>
          <w:b w:val="false"/>
          <w:i w:val="false"/>
          <w:color w:val="000000"/>
          <w:sz w:val="22"/>
        </w:rPr>
        <w:t>Patients shall only be permitted to self-administer medications when specifically ordered by the prescribing practitioner and the prescribing practitioner has determined this practice is safe for the specific patient. The hospital shall develop policies and procedures regarding storage and documentation of the administration of drugs.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7887C</w:t>
      </w:r>
      <w:r>
        <w:rPr>
          <w:rFonts w:ascii="Times New Roman" w:hAnsi="Times New Roman"/>
          <w:b w:val="false"/>
          <w:i w:val="false"/>
          <w:color w:val="000000"/>
          <w:sz w:val="16"/>
        </w:rPr>
        <w:t>, IAB 5/1/24, effective 6/5/24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481—51.12</w:t>
      </w:r>
      <w:r>
        <w:rPr>
          <w:rFonts w:ascii="Times New Roman" w:hAnsi="Times New Roman"/>
          <w:b/>
          <w:i w:val="false"/>
          <w:color w:val="000000"/>
          <w:sz w:val="22"/>
        </w:rPr>
        <w:t xml:space="preserve">(135B) </w:t>
      </w:r>
      <w:r>
        <w:rPr>
          <w:rFonts w:ascii="Times New Roman" w:hAnsi="Times New Roman"/>
          <w:b/>
          <w:i w:val="false"/>
          <w:color w:val="000000"/>
          <w:sz w:val="22"/>
        </w:rPr>
        <w:t xml:space="preserve">Verbal orders. </w:t>
      </w:r>
      <w:r>
        <w:rPr>
          <w:rFonts w:ascii="Times New Roman" w:hAnsi="Times New Roman"/>
          <w:b w:val="false"/>
          <w:i w:val="false"/>
          <w:color w:val="000000"/>
          <w:sz w:val="22"/>
        </w:rPr>
        <w:t>All verbal orders must be authenticated by the prescribing or ordering practitioner within a period not to exceed 30 days following a patient’s discharge. When verbal or electronic mechanisms are used to transmit orders, the orders must be accepted only by personnel who are authorized to do so by hospital policies and procedures in a manner consistent with federal and state law.</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7887C</w:t>
      </w:r>
      <w:r>
        <w:rPr>
          <w:rFonts w:ascii="Times New Roman" w:hAnsi="Times New Roman"/>
          <w:b w:val="false"/>
          <w:i w:val="false"/>
          <w:color w:val="000000"/>
          <w:sz w:val="16"/>
        </w:rPr>
        <w:t>, IAB 5/1/24, effective 6/5/24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481—51.13</w:t>
      </w:r>
      <w:r>
        <w:rPr>
          <w:rFonts w:ascii="Times New Roman" w:hAnsi="Times New Roman"/>
          <w:b/>
          <w:i w:val="false"/>
          <w:color w:val="000000"/>
          <w:sz w:val="22"/>
        </w:rPr>
        <w:t xml:space="preserve">(135B) </w:t>
      </w:r>
      <w:r>
        <w:rPr>
          <w:rFonts w:ascii="Times New Roman" w:hAnsi="Times New Roman"/>
          <w:b/>
          <w:i w:val="false"/>
          <w:color w:val="000000"/>
          <w:sz w:val="22"/>
        </w:rPr>
        <w:t xml:space="preserve">Radiological services.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51.13(1)</w:t>
      </w:r>
      <w:r>
        <w:rPr>
          <w:rFonts w:ascii="Times New Roman" w:hAnsi="Times New Roman"/>
          <w:b w:val="false"/>
          <w:i w:val="false"/>
          <w:color w:val="000000"/>
          <w:sz w:val="22"/>
        </w:rPr>
        <w:t> </w:t>
      </w:r>
      <w:r>
        <w:rPr>
          <w:rFonts w:ascii="Times New Roman" w:hAnsi="Times New Roman"/>
          <w:b w:val="false"/>
          <w:i w:val="false"/>
          <w:color w:val="000000"/>
          <w:sz w:val="22"/>
        </w:rPr>
        <w:t>The hospital must maintain, or have available, radiological services to meet the needs of the patients.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51.13(2)</w:t>
      </w:r>
      <w:r>
        <w:rPr>
          <w:rFonts w:ascii="Times New Roman" w:hAnsi="Times New Roman"/>
          <w:b w:val="false"/>
          <w:i w:val="false"/>
          <w:color w:val="000000"/>
          <w:sz w:val="22"/>
        </w:rPr>
        <w:t> </w:t>
      </w:r>
      <w:r>
        <w:rPr>
          <w:rFonts w:ascii="Times New Roman" w:hAnsi="Times New Roman"/>
          <w:b w:val="false"/>
          <w:i w:val="false"/>
          <w:color w:val="000000"/>
          <w:sz w:val="22"/>
        </w:rPr>
        <w:t xml:space="preserve">All radiological services shall be furnished in compliance with any applicable state law or state rules, including </w:t>
      </w:r>
      <w:hyperlink r:id="rId24">
        <w:r>
          <w:rPr>
            <w:rStyle w:val="Hyperlink"/>
            <w:rFonts w:ascii="Times New Roman" w:hAnsi="Times New Roman"/>
            <w:b w:val="false"/>
            <w:i w:val="false"/>
            <w:color w:val="000000"/>
            <w:sz w:val="22"/>
          </w:rPr>
          <w:t>641—Chapters 38 through 42</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7887C</w:t>
      </w:r>
      <w:r>
        <w:rPr>
          <w:rFonts w:ascii="Times New Roman" w:hAnsi="Times New Roman"/>
          <w:b w:val="false"/>
          <w:i w:val="false"/>
          <w:color w:val="000000"/>
          <w:sz w:val="16"/>
        </w:rPr>
        <w:t>, IAB 5/1/24, effective 6/5/24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481—51.14</w:t>
      </w:r>
      <w:r>
        <w:rPr>
          <w:rFonts w:ascii="Times New Roman" w:hAnsi="Times New Roman"/>
          <w:b/>
          <w:i w:val="false"/>
          <w:color w:val="000000"/>
          <w:sz w:val="22"/>
        </w:rPr>
        <w:t xml:space="preserve">(135B) </w:t>
      </w:r>
      <w:r>
        <w:rPr>
          <w:rFonts w:ascii="Times New Roman" w:hAnsi="Times New Roman"/>
          <w:b/>
          <w:i w:val="false"/>
          <w:color w:val="000000"/>
          <w:sz w:val="22"/>
        </w:rPr>
        <w:t xml:space="preserve">Laboratory service.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51.14(1)</w:t>
      </w:r>
      <w:r>
        <w:rPr>
          <w:rFonts w:ascii="Times New Roman" w:hAnsi="Times New Roman"/>
          <w:b w:val="false"/>
          <w:i w:val="false"/>
          <w:color w:val="000000"/>
          <w:sz w:val="22"/>
        </w:rPr>
        <w:t> </w:t>
      </w:r>
      <w:r>
        <w:rPr>
          <w:rFonts w:ascii="Times New Roman" w:hAnsi="Times New Roman"/>
          <w:b w:val="false"/>
          <w:i w:val="false"/>
          <w:color w:val="000000"/>
          <w:sz w:val="22"/>
        </w:rPr>
        <w:t>The hospital must maintain, or have available, adequate laboratory and pathology services and facilities to meet the needs of its patients. The medical staff determine which laboratory tests are necessary to be performed on site to meet the needs of the patients.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51.14(2)</w:t>
      </w:r>
      <w:r>
        <w:rPr>
          <w:rFonts w:ascii="Times New Roman" w:hAnsi="Times New Roman"/>
          <w:b w:val="false"/>
          <w:i w:val="false"/>
          <w:color w:val="000000"/>
          <w:sz w:val="22"/>
        </w:rPr>
        <w:t> </w:t>
      </w:r>
      <w:r>
        <w:rPr>
          <w:rFonts w:ascii="Times New Roman" w:hAnsi="Times New Roman"/>
          <w:b w:val="false"/>
          <w:i w:val="false"/>
          <w:color w:val="000000"/>
          <w:sz w:val="22"/>
        </w:rPr>
        <w:t>Emergency laboratory services must be available 24 hours a day.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51.14(3)</w:t>
      </w:r>
      <w:r>
        <w:rPr>
          <w:rFonts w:ascii="Times New Roman" w:hAnsi="Times New Roman"/>
          <w:b w:val="false"/>
          <w:i w:val="false"/>
          <w:color w:val="000000"/>
          <w:sz w:val="22"/>
        </w:rPr>
        <w:t> </w:t>
      </w:r>
      <w:r>
        <w:rPr>
          <w:rFonts w:ascii="Times New Roman" w:hAnsi="Times New Roman"/>
          <w:b w:val="false"/>
          <w:i w:val="false"/>
          <w:color w:val="000000"/>
          <w:sz w:val="22"/>
        </w:rPr>
        <w:t>Laboratory services must be performed in a laboratory certified and operating in accordance with 42 CFR Part 493 as amended to November 7, 2023.</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7887C</w:t>
      </w:r>
      <w:r>
        <w:rPr>
          <w:rFonts w:ascii="Times New Roman" w:hAnsi="Times New Roman"/>
          <w:b w:val="false"/>
          <w:i w:val="false"/>
          <w:color w:val="000000"/>
          <w:sz w:val="16"/>
        </w:rPr>
        <w:t>, IAB 5/1/24, effective 6/5/24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481—51.15</w:t>
      </w:r>
      <w:r>
        <w:rPr>
          <w:rFonts w:ascii="Times New Roman" w:hAnsi="Times New Roman"/>
          <w:b/>
          <w:i w:val="false"/>
          <w:color w:val="000000"/>
          <w:sz w:val="22"/>
        </w:rPr>
        <w:t xml:space="preserve">(135B) </w:t>
      </w:r>
      <w:r>
        <w:rPr>
          <w:rFonts w:ascii="Times New Roman" w:hAnsi="Times New Roman"/>
          <w:b/>
          <w:i w:val="false"/>
          <w:color w:val="000000"/>
          <w:sz w:val="22"/>
        </w:rPr>
        <w:t xml:space="preserve">Food and nutrition service.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51.15(1)</w:t>
      </w:r>
      <w:r>
        <w:rPr>
          <w:rFonts w:ascii="Times New Roman" w:hAnsi="Times New Roman"/>
          <w:b w:val="false"/>
          <w:i w:val="false"/>
          <w:color w:val="000000"/>
          <w:sz w:val="22"/>
        </w:rPr>
        <w:t> </w:t>
      </w:r>
      <w:r>
        <w:rPr>
          <w:rFonts w:ascii="Times New Roman" w:hAnsi="Times New Roman"/>
          <w:b w:val="false"/>
          <w:i/>
          <w:color w:val="000000"/>
          <w:sz w:val="22"/>
        </w:rPr>
        <w:t xml:space="preserve">Food and nutrition service definitions. </w:t>
      </w:r>
      <w:r>
        <w:rPr>
          <w:rFonts w:ascii="Times New Roman" w:hAnsi="Times New Roman"/>
          <w:b w:val="false"/>
          <w:i w:val="false"/>
          <w:color w:val="000000"/>
          <w:sz w:val="22"/>
        </w:rPr>
        <w:t>“Food service” means providing safe, satisfying, and nutritionally adequate food for patients through the provision of appropriate staff, space, equipment, and supplies. “Nutrition service” means providing assessment and education to ensure that the nutritional needs of the patients are met.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51.15(2)</w:t>
      </w:r>
      <w:r>
        <w:rPr>
          <w:rFonts w:ascii="Times New Roman" w:hAnsi="Times New Roman"/>
          <w:b w:val="false"/>
          <w:i w:val="false"/>
          <w:color w:val="000000"/>
          <w:sz w:val="22"/>
        </w:rPr>
        <w:t> </w:t>
      </w:r>
      <w:r>
        <w:rPr>
          <w:rFonts w:ascii="Times New Roman" w:hAnsi="Times New Roman"/>
          <w:b w:val="false"/>
          <w:i/>
          <w:color w:val="000000"/>
          <w:sz w:val="22"/>
        </w:rPr>
        <w:t xml:space="preserve">General 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All food will be handled, prepared, served, and stored in accordance with the Food Code adopted under provisions of Iowa Code section </w:t>
      </w:r>
      <w:hyperlink r:id="rId25">
        <w:r>
          <w:rPr>
            <w:rStyle w:val="Hyperlink"/>
            <w:rFonts w:ascii="Times New Roman" w:hAnsi="Times New Roman"/>
            <w:b w:val="false"/>
            <w:i w:val="false"/>
            <w:color w:val="000000"/>
            <w:sz w:val="22"/>
          </w:rPr>
          <w:t>137F.2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food and dietetic services shall be of a quality and quantity to meet the patient’s needs in accordance with any qualified health practitioner’s orders and meet the standards set forth in 42 CFR 482.28 as amended to November 7, 2023. Patient food preferences should be respected as much as possible, and substitutes offered through use of appropriate food groups.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Policies and procedures shall be developed and maintained.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Not less than three meals will be served daily unless contraindicated, and not more than 14 hours will elapse between the evening meal and breakfast of the following day. Nourishment between meals will be available to all patients unless contraindicated by the qualified health care practitioner.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hospital will maintain adequate space, equipment, and staple food supplies to provide patient food service in emergencies.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Menus for regular and therapeutic diets will be available and standardized recipes with nutritional analysis adjusted to number of portions will be maintained and used in food preparation.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Food shall be prepared by methods that conserve nutritive value, flavor, and appearance. Food shall be served attractively at appropriate and safe temperatures and in a form to meet individual needs.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Nutrition screening will be conducted by qualified hospital staff to determine the patient’s need for a comprehensive nutrition assessment by the licensed dietitian. Nutritional care will be integrated in the patient care plan, as appropriate, based upon the patient’s diagnosis and length of stay. The licensed dietitian will record in the patient’s medical record any observations and information pertinent to medical nutrition therapy, and any pertinent dietary records will be included in the patient’s transfer discharge record to ensure continuity of nutritional care. Upon discharge, nutrition counseling and education will be provided to the patient and family as ordered by the qualified health care practitioner, requested by the patient or deemed appropriate by the licensed dietitian.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 xml:space="preserve">In-service training, in accordance with hospital policies, will be provided for all food and nutrition service personnel.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On the nursing units, a separate patient food storage area will be maintained that ensures proper temperature control.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51.15(3)</w:t>
      </w:r>
      <w:r>
        <w:rPr>
          <w:rFonts w:ascii="Times New Roman" w:hAnsi="Times New Roman"/>
          <w:b w:val="false"/>
          <w:i w:val="false"/>
          <w:color w:val="000000"/>
          <w:sz w:val="22"/>
        </w:rPr>
        <w:t> </w:t>
      </w:r>
      <w:r>
        <w:rPr>
          <w:rFonts w:ascii="Times New Roman" w:hAnsi="Times New Roman"/>
          <w:b w:val="false"/>
          <w:i/>
          <w:color w:val="000000"/>
          <w:sz w:val="22"/>
        </w:rPr>
        <w:t xml:space="preserve">Food and nutrition service staff.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licensed dietitian will be employed on a full-time, part-time or consulting basis, with any part-time or consultant services provided on the premises at appropriate times on a regularly scheduled basis. These services shall be of sufficient duration and frequency to provide continuing liaison with medical and nursing staff, advice to the administrator, patient counseling, guidance to the supervisor and staff of the food and nutrition service, approval of all menus, and participation in the development or revision of departmental policies and procedures and in planning and conducting in-service education programs.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If a licensed dietitian is not employed full-time, then one must be employed on a part-time or consultation basis with an additional full-time person who has completed a certified dietary manager course and is employed to be responsible for the operation of the food service.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Sufficient food service personnel will be employed, oriented, trained, and their working hours scheduled to provide for the nutritional needs of the patients and to maintain the food service areas.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51.15(4)</w:t>
      </w:r>
      <w:r>
        <w:rPr>
          <w:rFonts w:ascii="Times New Roman" w:hAnsi="Times New Roman"/>
          <w:b w:val="false"/>
          <w:i w:val="false"/>
          <w:color w:val="000000"/>
          <w:sz w:val="22"/>
        </w:rPr>
        <w:t> </w:t>
      </w:r>
      <w:r>
        <w:rPr>
          <w:rFonts w:ascii="Times New Roman" w:hAnsi="Times New Roman"/>
          <w:b w:val="false"/>
          <w:i/>
          <w:color w:val="000000"/>
          <w:sz w:val="22"/>
        </w:rPr>
        <w:t xml:space="preserve">Food service equipment and supplies. </w:t>
      </w:r>
      <w:r>
        <w:rPr>
          <w:rFonts w:ascii="Times New Roman" w:hAnsi="Times New Roman"/>
          <w:b w:val="false"/>
          <w:i w:val="false"/>
          <w:color w:val="000000"/>
          <w:sz w:val="22"/>
        </w:rPr>
        <w:t>Equipment necessary for preparation and maintenance of menus, records, and references will be provided. At least one week’s supply of staple foods and a reasonable supply of perishable foods shall be maintained on the premises. Supplies will be appropriate to meet the requirements of the menu.</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7887C</w:t>
      </w:r>
      <w:r>
        <w:rPr>
          <w:rFonts w:ascii="Times New Roman" w:hAnsi="Times New Roman"/>
          <w:b w:val="false"/>
          <w:i w:val="false"/>
          <w:color w:val="000000"/>
          <w:sz w:val="16"/>
        </w:rPr>
        <w:t>, IAB 5/1/24, effective 6/5/24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481—51.16</w:t>
      </w:r>
      <w:r>
        <w:rPr>
          <w:rFonts w:ascii="Times New Roman" w:hAnsi="Times New Roman"/>
          <w:b/>
          <w:i w:val="false"/>
          <w:color w:val="000000"/>
          <w:sz w:val="22"/>
        </w:rPr>
        <w:t xml:space="preserve">(135B) </w:t>
      </w:r>
      <w:r>
        <w:rPr>
          <w:rFonts w:ascii="Times New Roman" w:hAnsi="Times New Roman"/>
          <w:b/>
          <w:i w:val="false"/>
          <w:color w:val="000000"/>
          <w:sz w:val="22"/>
        </w:rPr>
        <w:t xml:space="preserve">Equipment for patient care. </w:t>
      </w:r>
      <w:r>
        <w:rPr>
          <w:rFonts w:ascii="Times New Roman" w:hAnsi="Times New Roman"/>
          <w:b w:val="false"/>
          <w:i w:val="false"/>
          <w:color w:val="000000"/>
          <w:sz w:val="22"/>
        </w:rPr>
        <w:t>Hospital equipment shall be selected, maintained and utilized in accordance with the manufacturer’s specifications and the needs of the patients.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7887C</w:t>
      </w:r>
      <w:r>
        <w:rPr>
          <w:rFonts w:ascii="Times New Roman" w:hAnsi="Times New Roman"/>
          <w:b w:val="false"/>
          <w:i w:val="false"/>
          <w:color w:val="000000"/>
          <w:sz w:val="16"/>
        </w:rPr>
        <w:t>, IAB 5/1/24, effective 6/5/24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481—51.17</w:t>
      </w:r>
      <w:r>
        <w:rPr>
          <w:rFonts w:ascii="Times New Roman" w:hAnsi="Times New Roman"/>
          <w:b/>
          <w:i w:val="false"/>
          <w:color w:val="000000"/>
          <w:sz w:val="22"/>
        </w:rPr>
        <w:t xml:space="preserve">(135B) </w:t>
      </w:r>
      <w:r>
        <w:rPr>
          <w:rFonts w:ascii="Times New Roman" w:hAnsi="Times New Roman"/>
          <w:b/>
          <w:i w:val="false"/>
          <w:color w:val="000000"/>
          <w:sz w:val="22"/>
        </w:rPr>
        <w:t xml:space="preserve">Infection control. </w:t>
      </w:r>
      <w:r>
        <w:rPr>
          <w:rFonts w:ascii="Times New Roman" w:hAnsi="Times New Roman"/>
          <w:b w:val="false"/>
          <w:i w:val="false"/>
          <w:color w:val="000000"/>
          <w:sz w:val="22"/>
        </w:rPr>
        <w:t>There shall be proper policies and procedures for the prevention and control of communicable diseases, including compliance with the current rules for the control of communicable disease as provided by the Iowa department of health and human services and current Centers for Disease Control and Prevention (CDC) guidelines for isolation precautions.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51.17(1)</w:t>
      </w:r>
      <w:r>
        <w:rPr>
          <w:rFonts w:ascii="Times New Roman" w:hAnsi="Times New Roman"/>
          <w:b w:val="false"/>
          <w:i w:val="false"/>
          <w:color w:val="000000"/>
          <w:sz w:val="22"/>
        </w:rPr>
        <w:t> </w:t>
      </w:r>
      <w:r>
        <w:rPr>
          <w:rFonts w:ascii="Times New Roman" w:hAnsi="Times New Roman"/>
          <w:b w:val="false"/>
          <w:i/>
          <w:color w:val="000000"/>
          <w:sz w:val="22"/>
        </w:rPr>
        <w:t xml:space="preserve">Segregation. </w:t>
      </w:r>
      <w:r>
        <w:rPr>
          <w:rFonts w:ascii="Times New Roman" w:hAnsi="Times New Roman"/>
          <w:b w:val="false"/>
          <w:i w:val="false"/>
          <w:color w:val="000000"/>
          <w:sz w:val="22"/>
        </w:rPr>
        <w:t>There shall be proper arrangement of areas, rooms and patients’ beds to provide for the prevention of cross-infections and the control of communicable diseases. There shall also be proper cleansing of rooms and surgeries immediately following the care of a communicable case and utilization of proper isolation techniques for patients and staff to prevent cross-infection.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51.17(2)</w:t>
      </w:r>
      <w:r>
        <w:rPr>
          <w:rFonts w:ascii="Times New Roman" w:hAnsi="Times New Roman"/>
          <w:b w:val="false"/>
          <w:i w:val="false"/>
          <w:color w:val="000000"/>
          <w:sz w:val="22"/>
        </w:rPr>
        <w:t> </w:t>
      </w:r>
      <w:r>
        <w:rPr>
          <w:rFonts w:ascii="Times New Roman" w:hAnsi="Times New Roman"/>
          <w:b w:val="false"/>
          <w:i/>
          <w:color w:val="000000"/>
          <w:sz w:val="22"/>
        </w:rPr>
        <w:t xml:space="preserve">Visitors. </w:t>
      </w:r>
      <w:r>
        <w:rPr>
          <w:rFonts w:ascii="Times New Roman" w:hAnsi="Times New Roman"/>
          <w:b w:val="false"/>
          <w:i w:val="false"/>
          <w:color w:val="000000"/>
          <w:sz w:val="22"/>
        </w:rPr>
        <w:t>The hospital shall establish proper policies and procedures for the control of visitors to all services in the hospital.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51.17(3)</w:t>
      </w:r>
      <w:r>
        <w:rPr>
          <w:rFonts w:ascii="Times New Roman" w:hAnsi="Times New Roman"/>
          <w:b w:val="false"/>
          <w:i w:val="false"/>
          <w:color w:val="000000"/>
          <w:sz w:val="22"/>
        </w:rPr>
        <w:t> </w:t>
      </w:r>
      <w:r>
        <w:rPr>
          <w:rFonts w:ascii="Times New Roman" w:hAnsi="Times New Roman"/>
          <w:b w:val="false"/>
          <w:i/>
          <w:color w:val="000000"/>
          <w:sz w:val="22"/>
        </w:rPr>
        <w:t xml:space="preserve">Health assessments. </w:t>
      </w:r>
      <w:r>
        <w:rPr>
          <w:rFonts w:ascii="Times New Roman" w:hAnsi="Times New Roman"/>
          <w:b w:val="false"/>
          <w:i w:val="false"/>
          <w:color w:val="000000"/>
          <w:sz w:val="22"/>
        </w:rPr>
        <w:t>Health assessments for all contracted or employed personnel who provide direct services shall be required at the commencement of employment and thereafter at least every four years.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“Direct services” means services provided through person-to-person contact. “Direct services” excludes services provided by individuals such as building contractors, repair workers, or others who are in the hospital for a very limited purpose, who are not in the hospital on a regular basis, and who do not provide any treatment or services for the patients of the hospital.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health assessment may be performed by the person’s primary care provider.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health assessment shall include, at a minimum, vital signs and an assessment for infectious or communicable diseases.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Screening and testing for tuberculosis shall be conducted pursuant to </w:t>
      </w:r>
      <w:hyperlink r:id="rId26">
        <w:r>
          <w:rPr>
            <w:rStyle w:val="Hyperlink"/>
            <w:rFonts w:ascii="Times New Roman" w:hAnsi="Times New Roman"/>
            <w:b w:val="false"/>
            <w:i w:val="false"/>
            <w:color w:val="000000"/>
            <w:sz w:val="22"/>
          </w:rPr>
          <w:t>481—Chapter 59</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51.17(4)</w:t>
      </w:r>
      <w:r>
        <w:rPr>
          <w:rFonts w:ascii="Times New Roman" w:hAnsi="Times New Roman"/>
          <w:b w:val="false"/>
          <w:i w:val="false"/>
          <w:color w:val="000000"/>
          <w:sz w:val="22"/>
        </w:rPr>
        <w:t> </w:t>
      </w:r>
      <w:r>
        <w:rPr>
          <w:rFonts w:ascii="Times New Roman" w:hAnsi="Times New Roman"/>
          <w:b w:val="false"/>
          <w:i/>
          <w:color w:val="000000"/>
          <w:sz w:val="22"/>
        </w:rPr>
        <w:t xml:space="preserve">Notification. </w:t>
      </w:r>
      <w:r>
        <w:rPr>
          <w:rFonts w:ascii="Times New Roman" w:hAnsi="Times New Roman"/>
          <w:b w:val="false"/>
          <w:i w:val="false"/>
          <w:color w:val="000000"/>
          <w:sz w:val="22"/>
        </w:rPr>
        <w:t xml:space="preserve">Prior to removal of a deceased resident/patient from a facility, the funeral director or person responsible for transporting the body shall be notified by the facility staff of any special precautions that were followed by the facility having to do with the mode of transmission of a known or suspected communicable disease.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7887C</w:t>
      </w:r>
      <w:r>
        <w:rPr>
          <w:rFonts w:ascii="Times New Roman" w:hAnsi="Times New Roman"/>
          <w:b w:val="false"/>
          <w:i w:val="false"/>
          <w:color w:val="000000"/>
          <w:sz w:val="16"/>
        </w:rPr>
        <w:t>, IAB 5/1/24, effective 6/5/24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481—51.18</w:t>
      </w:r>
      <w:r>
        <w:rPr>
          <w:rFonts w:ascii="Times New Roman" w:hAnsi="Times New Roman"/>
          <w:b/>
          <w:i w:val="false"/>
          <w:color w:val="000000"/>
          <w:sz w:val="22"/>
        </w:rPr>
        <w:t xml:space="preserve">(135B) </w:t>
      </w:r>
      <w:r>
        <w:rPr>
          <w:rFonts w:ascii="Times New Roman" w:hAnsi="Times New Roman"/>
          <w:b/>
          <w:i w:val="false"/>
          <w:color w:val="000000"/>
          <w:sz w:val="22"/>
        </w:rPr>
        <w:t xml:space="preserve">Surgical services. </w:t>
      </w:r>
      <w:r>
        <w:rPr>
          <w:rFonts w:ascii="Times New Roman" w:hAnsi="Times New Roman"/>
          <w:b w:val="false"/>
          <w:i w:val="false"/>
          <w:color w:val="000000"/>
          <w:sz w:val="22"/>
        </w:rPr>
        <w:t>All hospitals providing surgical services shall be properly organized and equipped to provide for the safe and aseptic treatment of surgical patients.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51.18(1)</w:t>
      </w:r>
      <w:r>
        <w:rPr>
          <w:rFonts w:ascii="Times New Roman" w:hAnsi="Times New Roman"/>
          <w:b w:val="false"/>
          <w:i w:val="false"/>
          <w:color w:val="000000"/>
          <w:sz w:val="22"/>
        </w:rPr>
        <w:t> </w:t>
      </w:r>
      <w:r>
        <w:rPr>
          <w:rFonts w:ascii="Times New Roman" w:hAnsi="Times New Roman"/>
          <w:b w:val="false"/>
          <w:i w:val="false"/>
          <w:color w:val="000000"/>
          <w:sz w:val="22"/>
        </w:rPr>
        <w:t>Written policies and procedures governing surgical services shall be developed and implemented in consultation with the hospital’s medical staff and, at a minimum, provide for: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Surgical services under the direction of a qualified doctor of medicine or osteopathy.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Delineation of the privileges and qualifications of individuals authorized to provide surgical services as set forth in the hospital’s medical staff bylaws and in accordance with subrule </w:t>
      </w:r>
      <w:hyperlink r:id="rId27">
        <w:r>
          <w:rPr>
            <w:rStyle w:val="Hyperlink"/>
            <w:rFonts w:ascii="Times New Roman" w:hAnsi="Times New Roman"/>
            <w:b w:val="false"/>
            <w:i w:val="false"/>
            <w:color w:val="000000"/>
            <w:sz w:val="22"/>
          </w:rPr>
          <w:t>51.5(4)</w:t>
        </w:r>
      </w:hyperlink>
      <w:r>
        <w:rPr>
          <w:rFonts w:ascii="Times New Roman" w:hAnsi="Times New Roman"/>
          <w:b w:val="false"/>
          <w:i w:val="false"/>
          <w:color w:val="000000"/>
          <w:sz w:val="22"/>
        </w:rPr>
        <w:t xml:space="preserve">, including a periodic review and update of surgical privileges not to exceed every three years or other term permitted by an accrediting organization approved by CMS for federal certification, whichever is longer. The surgical service must maintain a roster of these individuals specifying the surgical privileges of each.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Immediate availability of at least one registered nurse for the operating room suites to respond to emergencies.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qualifications and job descriptions of nursing personnel, surgical technicians, and other support personnel and continuing education required.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Appropriate staffing for surgical services, including physician and anesthesia coverage and other support personnel.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Availability of ancillary services for surgical patients, including but not limited to blood banking, laboratory, radiology, and anesthesia.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Infection control and disease prevention, including aseptic surveillance and practice, identification of infected and noninfected cases, sterilization and disinfection procedures, and ongoing monitoring of infections and infection rates.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Housekeeping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Safety practices.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Ongoing quality assessment, performance improvement, and process improvement.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The pathological examination of tissue specimens either directly or through contractual arrangements.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w:t>
      </w:r>
      <w:r>
        <w:rPr>
          <w:rFonts w:ascii="Times New Roman" w:hAnsi="Times New Roman"/>
          <w:b w:val="false"/>
          <w:i w:val="false"/>
          <w:color w:val="000000"/>
          <w:sz w:val="22"/>
        </w:rPr>
        <w:t>  </w:t>
      </w:r>
      <w:r>
        <w:rPr>
          <w:rFonts w:ascii="Times New Roman" w:hAnsi="Times New Roman"/>
          <w:b w:val="false"/>
          <w:i w:val="false"/>
          <w:color w:val="000000"/>
          <w:sz w:val="22"/>
        </w:rPr>
        <w:t>Appropriate preoperative teaching and discharge planning.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51.18(2)</w:t>
      </w:r>
      <w:r>
        <w:rPr>
          <w:rFonts w:ascii="Times New Roman" w:hAnsi="Times New Roman"/>
          <w:b w:val="false"/>
          <w:i w:val="false"/>
          <w:color w:val="000000"/>
          <w:sz w:val="22"/>
        </w:rPr>
        <w:t> </w:t>
      </w:r>
      <w:r>
        <w:rPr>
          <w:rFonts w:ascii="Times New Roman" w:hAnsi="Times New Roman"/>
          <w:b w:val="false"/>
          <w:i w:val="false"/>
          <w:color w:val="000000"/>
          <w:sz w:val="22"/>
        </w:rPr>
        <w:t>Policies and procedures may be adjusted as appropriate to reflect the provision of surgical services in inpatient, outpatient or one-day surgical settings.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51.18(3)</w:t>
      </w:r>
      <w:r>
        <w:rPr>
          <w:rFonts w:ascii="Times New Roman" w:hAnsi="Times New Roman"/>
          <w:b w:val="false"/>
          <w:i w:val="false"/>
          <w:color w:val="000000"/>
          <w:sz w:val="22"/>
        </w:rPr>
        <w:t> </w:t>
      </w:r>
      <w:r>
        <w:rPr>
          <w:rFonts w:ascii="Times New Roman" w:hAnsi="Times New Roman"/>
          <w:b w:val="false"/>
          <w:i w:val="false"/>
          <w:color w:val="000000"/>
          <w:sz w:val="22"/>
        </w:rPr>
        <w:t>There must be an appropriate history and physical workup documented and a properly executed consent form in the chart of each patient prior to surgery, except in the event of an emergency.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51.18(4)</w:t>
      </w:r>
      <w:r>
        <w:rPr>
          <w:rFonts w:ascii="Times New Roman" w:hAnsi="Times New Roman"/>
          <w:b w:val="false"/>
          <w:i w:val="false"/>
          <w:color w:val="000000"/>
          <w:sz w:val="22"/>
        </w:rPr>
        <w:t> </w:t>
      </w:r>
      <w:r>
        <w:rPr>
          <w:rFonts w:ascii="Times New Roman" w:hAnsi="Times New Roman"/>
          <w:b w:val="false"/>
          <w:i w:val="false"/>
          <w:color w:val="000000"/>
          <w:sz w:val="22"/>
        </w:rPr>
        <w:t>A full operative report must be written or dictated within 24 hours following surgery and signed by the individual conducting the surgery.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51.18(5)</w:t>
      </w:r>
      <w:r>
        <w:rPr>
          <w:rFonts w:ascii="Times New Roman" w:hAnsi="Times New Roman"/>
          <w:b w:val="false"/>
          <w:i w:val="false"/>
          <w:color w:val="000000"/>
          <w:sz w:val="22"/>
        </w:rPr>
        <w:t> </w:t>
      </w:r>
      <w:r>
        <w:rPr>
          <w:rFonts w:ascii="Times New Roman" w:hAnsi="Times New Roman"/>
          <w:b w:val="false"/>
          <w:i w:val="false"/>
          <w:color w:val="000000"/>
          <w:sz w:val="22"/>
        </w:rPr>
        <w:t>Equipment available in the operating room, recovery room, outpatient surgical areas, and for postsurgical care must be consistent with the needs of the patient.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7887C</w:t>
      </w:r>
      <w:r>
        <w:rPr>
          <w:rFonts w:ascii="Times New Roman" w:hAnsi="Times New Roman"/>
          <w:b w:val="false"/>
          <w:i w:val="false"/>
          <w:color w:val="000000"/>
          <w:sz w:val="16"/>
        </w:rPr>
        <w:t>, IAB 5/1/24, effective 6/5/24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481—51.19</w:t>
      </w:r>
      <w:r>
        <w:rPr>
          <w:rFonts w:ascii="Times New Roman" w:hAnsi="Times New Roman"/>
          <w:b/>
          <w:i w:val="false"/>
          <w:color w:val="000000"/>
          <w:sz w:val="22"/>
        </w:rPr>
        <w:t xml:space="preserve">(135B) </w:t>
      </w:r>
      <w:r>
        <w:rPr>
          <w:rFonts w:ascii="Times New Roman" w:hAnsi="Times New Roman"/>
          <w:b/>
          <w:i w:val="false"/>
          <w:color w:val="000000"/>
          <w:sz w:val="22"/>
        </w:rPr>
        <w:t xml:space="preserve">Anesthesia services.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51.19(1)</w:t>
      </w:r>
      <w:r>
        <w:rPr>
          <w:rFonts w:ascii="Times New Roman" w:hAnsi="Times New Roman"/>
          <w:b w:val="false"/>
          <w:i w:val="false"/>
          <w:color w:val="000000"/>
          <w:sz w:val="22"/>
        </w:rPr>
        <w:t> </w:t>
      </w:r>
      <w:r>
        <w:rPr>
          <w:rFonts w:ascii="Times New Roman" w:hAnsi="Times New Roman"/>
          <w:b w:val="false"/>
          <w:i w:val="false"/>
          <w:color w:val="000000"/>
          <w:sz w:val="22"/>
        </w:rPr>
        <w:t>There shall be written policies and procedures governing anesthesia services that are consistent with the needs and resources of the hospital. Written policies and procedures governing anesthesia services shall be developed and implemented in consultation with and with the approval of the hospital’s medical staff and, at a minimum, provide for: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Anesthesia services under the direction of a qualified doctor of medicine or osteopathy.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qualifications of individuals authorized to administer anesthesia as set out in the hospital’s medical staff bylaws or medical staff rules and regulations.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Preanesthesia evaluation, appraisal of a patient’s current condition, preparation of an intraoperative anesthesia record, and discharge criteria for patients.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Equipment functioning and safety, including ensuring that a qualified medical doctor, osteopathic physician and surgeon or anesthetist checks, prior to the administration of anesthesia, the readiness, availability, cleanliness, and working condition of all equipment to be used in the administration of anesthetic agents and minimizing electrical hazard in anesthesia areas.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Quality assurance, including infection control procedures; integration of anesthesia services into various areas of the hospital; and ongoing monitoring, review, and evaluation of anesthesia services, processes, and procedures.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51.19(2)</w:t>
      </w:r>
      <w:r>
        <w:rPr>
          <w:rFonts w:ascii="Times New Roman" w:hAnsi="Times New Roman"/>
          <w:b w:val="false"/>
          <w:i w:val="false"/>
          <w:color w:val="000000"/>
          <w:sz w:val="22"/>
        </w:rPr>
        <w:t> </w:t>
      </w:r>
      <w:r>
        <w:rPr>
          <w:rFonts w:ascii="Times New Roman" w:hAnsi="Times New Roman"/>
          <w:b w:val="false"/>
          <w:i w:val="false"/>
          <w:color w:val="000000"/>
          <w:sz w:val="22"/>
        </w:rPr>
        <w:t>Policies and procedures may be adjusted as appropriate to reflect provision of anesthesia services in inpatient or outpatient settings.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7887C</w:t>
      </w:r>
      <w:r>
        <w:rPr>
          <w:rFonts w:ascii="Times New Roman" w:hAnsi="Times New Roman"/>
          <w:b w:val="false"/>
          <w:i w:val="false"/>
          <w:color w:val="000000"/>
          <w:sz w:val="16"/>
        </w:rPr>
        <w:t>, IAB 5/1/24, effective 6/5/24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481—51.20</w:t>
      </w:r>
      <w:r>
        <w:rPr>
          <w:rFonts w:ascii="Times New Roman" w:hAnsi="Times New Roman"/>
          <w:b/>
          <w:i w:val="false"/>
          <w:color w:val="000000"/>
          <w:sz w:val="22"/>
        </w:rPr>
        <w:t xml:space="preserve">(135B) </w:t>
      </w:r>
      <w:r>
        <w:rPr>
          <w:rFonts w:ascii="Times New Roman" w:hAnsi="Times New Roman"/>
          <w:b/>
          <w:i w:val="false"/>
          <w:color w:val="000000"/>
          <w:sz w:val="22"/>
        </w:rPr>
        <w:t xml:space="preserve">Emergency services.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51.20(1)</w:t>
      </w:r>
      <w:r>
        <w:rPr>
          <w:rFonts w:ascii="Times New Roman" w:hAnsi="Times New Roman"/>
          <w:b w:val="false"/>
          <w:i w:val="false"/>
          <w:color w:val="000000"/>
          <w:sz w:val="22"/>
        </w:rPr>
        <w:t> </w:t>
      </w:r>
      <w:r>
        <w:rPr>
          <w:rFonts w:ascii="Times New Roman" w:hAnsi="Times New Roman"/>
          <w:b w:val="false"/>
          <w:i w:val="false"/>
          <w:color w:val="000000"/>
          <w:sz w:val="22"/>
        </w:rPr>
        <w:t>All hospitals shall provide for emergency services that offers reasonable care within the medical capabilities of the facility in determining whether an emergency exists, renders care appropriate to the facility and, at a minimum, renders lifesaving first aid and makes appropriate referral to a facility that is capable of providing needed services.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51.20(2)</w:t>
      </w:r>
      <w:r>
        <w:rPr>
          <w:rFonts w:ascii="Times New Roman" w:hAnsi="Times New Roman"/>
          <w:b w:val="false"/>
          <w:i w:val="false"/>
          <w:color w:val="000000"/>
          <w:sz w:val="22"/>
        </w:rPr>
        <w:t> </w:t>
      </w:r>
      <w:r>
        <w:rPr>
          <w:rFonts w:ascii="Times New Roman" w:hAnsi="Times New Roman"/>
          <w:b w:val="false"/>
          <w:i w:val="false"/>
          <w:color w:val="000000"/>
          <w:sz w:val="22"/>
        </w:rPr>
        <w:t>The hospital shall have written policies and procedures specifying the scope and conduct of patient care to be provided in the emergency service. The policies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Provide for training of all personnel providing patient care in the emergency service.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Require that a medical record be kept on every patient given treatment in the emergency service and establish the medical record documentation. The documentation should include, at a minimum, appropriate information regarding the medical screening provided, except where the person refuses, then notation of patient refusal; physician documentation of the presence or absence of an emergency medical condition or active labor; physician documentation of transfer or discharge, stating the basis for transfer or discharge; and, where transfer occurs, identity of the facility of transfer, acceptance of the patient by the facility of transfer, and means of transfer of the patient.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7887C</w:t>
      </w:r>
      <w:r>
        <w:rPr>
          <w:rFonts w:ascii="Times New Roman" w:hAnsi="Times New Roman"/>
          <w:b w:val="false"/>
          <w:i w:val="false"/>
          <w:color w:val="000000"/>
          <w:sz w:val="16"/>
        </w:rPr>
        <w:t>, IAB 5/1/24, effective 6/5/24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481—51.21</w:t>
      </w:r>
      <w:r>
        <w:rPr>
          <w:rFonts w:ascii="Times New Roman" w:hAnsi="Times New Roman"/>
          <w:b/>
          <w:i w:val="false"/>
          <w:color w:val="000000"/>
          <w:sz w:val="22"/>
        </w:rPr>
        <w:t xml:space="preserve">(135B) </w:t>
      </w:r>
      <w:r>
        <w:rPr>
          <w:rFonts w:ascii="Times New Roman" w:hAnsi="Times New Roman"/>
          <w:b/>
          <w:i w:val="false"/>
          <w:color w:val="000000"/>
          <w:sz w:val="22"/>
        </w:rPr>
        <w:t xml:space="preserve">Obstetric and neonatal services. </w:t>
      </w:r>
      <w:r>
        <w:rPr>
          <w:rFonts w:ascii="Times New Roman" w:hAnsi="Times New Roman"/>
          <w:b w:val="false"/>
          <w:i w:val="false"/>
          <w:color w:val="000000"/>
          <w:sz w:val="22"/>
        </w:rPr>
        <w:t>All hospitals providing obstetrical care shall be properly organized and equipped to provide accommodations for mothers and newborn infants. The supervision of the maternity area shall be under the direction of a qualified registered nurse.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7887C</w:t>
      </w:r>
      <w:r>
        <w:rPr>
          <w:rFonts w:ascii="Times New Roman" w:hAnsi="Times New Roman"/>
          <w:b w:val="false"/>
          <w:i w:val="false"/>
          <w:color w:val="000000"/>
          <w:sz w:val="16"/>
        </w:rPr>
        <w:t>, IAB 5/1/24, effective 6/5/24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481—51.22</w:t>
      </w:r>
      <w:r>
        <w:rPr>
          <w:rFonts w:ascii="Times New Roman" w:hAnsi="Times New Roman"/>
          <w:b/>
          <w:i w:val="false"/>
          <w:color w:val="000000"/>
          <w:sz w:val="22"/>
        </w:rPr>
        <w:t xml:space="preserve">(135B) </w:t>
      </w:r>
      <w:r>
        <w:rPr>
          <w:rFonts w:ascii="Times New Roman" w:hAnsi="Times New Roman"/>
          <w:b/>
          <w:i w:val="false"/>
          <w:color w:val="000000"/>
          <w:sz w:val="22"/>
        </w:rPr>
        <w:t xml:space="preserve">Pediatric services. </w:t>
      </w:r>
      <w:r>
        <w:rPr>
          <w:rFonts w:ascii="Times New Roman" w:hAnsi="Times New Roman"/>
          <w:b w:val="false"/>
          <w:i w:val="false"/>
          <w:color w:val="000000"/>
          <w:sz w:val="22"/>
        </w:rPr>
        <w:t>All hospitals providing pediatric care shall be properly organized and equipped to provide appropriate accommodations for children. The supervision of the pediatric area shall be under the direction of a qualified registered nurse.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7887C</w:t>
      </w:r>
      <w:r>
        <w:rPr>
          <w:rFonts w:ascii="Times New Roman" w:hAnsi="Times New Roman"/>
          <w:b w:val="false"/>
          <w:i w:val="false"/>
          <w:color w:val="000000"/>
          <w:sz w:val="16"/>
        </w:rPr>
        <w:t>, IAB 5/1/24, effective 6/5/24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481—51.23</w:t>
      </w:r>
      <w:r>
        <w:rPr>
          <w:rFonts w:ascii="Times New Roman" w:hAnsi="Times New Roman"/>
          <w:b/>
          <w:i w:val="false"/>
          <w:color w:val="000000"/>
          <w:sz w:val="22"/>
        </w:rPr>
        <w:t xml:space="preserve">(135B) </w:t>
      </w:r>
      <w:r>
        <w:rPr>
          <w:rFonts w:ascii="Times New Roman" w:hAnsi="Times New Roman"/>
          <w:b/>
          <w:i w:val="false"/>
          <w:color w:val="000000"/>
          <w:sz w:val="22"/>
        </w:rPr>
        <w:t xml:space="preserve">Psychiatric services.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51.23(1)</w:t>
      </w:r>
      <w:r>
        <w:rPr>
          <w:rFonts w:ascii="Times New Roman" w:hAnsi="Times New Roman"/>
          <w:b w:val="false"/>
          <w:i w:val="false"/>
          <w:color w:val="000000"/>
          <w:sz w:val="22"/>
        </w:rPr>
        <w:t> </w:t>
      </w:r>
      <w:r>
        <w:rPr>
          <w:rFonts w:ascii="Times New Roman" w:hAnsi="Times New Roman"/>
          <w:b w:val="false"/>
          <w:i/>
          <w:color w:val="000000"/>
          <w:sz w:val="22"/>
        </w:rPr>
        <w:t xml:space="preserve">General requirements. </w:t>
      </w:r>
      <w:r>
        <w:rPr>
          <w:rFonts w:ascii="Times New Roman" w:hAnsi="Times New Roman"/>
          <w:b w:val="false"/>
          <w:i w:val="false"/>
          <w:color w:val="000000"/>
          <w:sz w:val="22"/>
        </w:rPr>
        <w:t>Any hospital operating as a psychiatric hospital or operating a psychiatric unit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Be a hospital or unit primarily engaged in providing, by or under the supervision of a doctor of medicine or osteopathy, psychiatric services for the diagnosis and treatment of persons with psychiatric illnesses/disorders;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Comply with the requirements of this chapter applicable to hospitals. If medical and surgical diagnostic and treatment services are not available within the hospital, the hospital shall have an agreement with an outside source of these services to ensure they are immediately available;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Have policies and procedures for informing patients of their rights and responsibilities and for ensuring the availability of a patient advocate;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Have sufficient numbers of qualified professionals and support staff to evaluate patients, formulate written individualized comprehensive treatment plans, provide active treatment measures, and engage in discharge planning.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51.23(2)</w:t>
      </w:r>
      <w:r>
        <w:rPr>
          <w:rFonts w:ascii="Times New Roman" w:hAnsi="Times New Roman"/>
          <w:b w:val="false"/>
          <w:i w:val="false"/>
          <w:color w:val="000000"/>
          <w:sz w:val="22"/>
        </w:rPr>
        <w:t> </w:t>
      </w:r>
      <w:r>
        <w:rPr>
          <w:rFonts w:ascii="Times New Roman" w:hAnsi="Times New Roman"/>
          <w:b w:val="false"/>
          <w:i/>
          <w:color w:val="000000"/>
          <w:sz w:val="22"/>
        </w:rPr>
        <w:t xml:space="preserve">Personnel.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Director of inpatient psychiatric services. </w:t>
      </w:r>
      <w:r>
        <w:rPr>
          <w:rFonts w:ascii="Times New Roman" w:hAnsi="Times New Roman"/>
          <w:b w:val="false"/>
          <w:i w:val="false"/>
          <w:color w:val="000000"/>
          <w:sz w:val="22"/>
        </w:rPr>
        <w:t xml:space="preserve">The director of inpatient psychiatric services shall be a doctor of medicine or osteopathy qualified to meet the training and experience requirements for examination by the American Board of Psychiatry and Neurology or the American Osteopathic Board of Neurology and Psychiatry.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Director of psychiatric nursing services. </w:t>
      </w:r>
      <w:r>
        <w:rPr>
          <w:rFonts w:ascii="Times New Roman" w:hAnsi="Times New Roman"/>
          <w:b w:val="false"/>
          <w:i w:val="false"/>
          <w:color w:val="000000"/>
          <w:sz w:val="22"/>
        </w:rPr>
        <w:t>The director of psychiatric nursing services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Be a registered nurse who has a master’s degree in psychiatric or mental health nursing;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Be an advanced registered nurse practitioner certified in psychiatric or mental health nursing;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Be qualified by education and two years’ experience in the care of persons with mental disorders.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Psychological services. </w:t>
      </w:r>
      <w:r>
        <w:rPr>
          <w:rFonts w:ascii="Times New Roman" w:hAnsi="Times New Roman"/>
          <w:b w:val="false"/>
          <w:i w:val="false"/>
          <w:color w:val="000000"/>
          <w:sz w:val="22"/>
        </w:rPr>
        <w:t xml:space="preserve">Psychological services shall be provided or available that are in compliance with Iowa Code chapter </w:t>
      </w:r>
      <w:hyperlink r:id="rId28">
        <w:r>
          <w:rPr>
            <w:rStyle w:val="Hyperlink"/>
            <w:rFonts w:ascii="Times New Roman" w:hAnsi="Times New Roman"/>
            <w:b w:val="false"/>
            <w:i w:val="false"/>
            <w:color w:val="000000"/>
            <w:sz w:val="22"/>
          </w:rPr>
          <w:t>154B</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Social services. </w:t>
      </w:r>
      <w:r>
        <w:rPr>
          <w:rFonts w:ascii="Times New Roman" w:hAnsi="Times New Roman"/>
          <w:b w:val="false"/>
          <w:i w:val="false"/>
          <w:color w:val="000000"/>
          <w:sz w:val="22"/>
        </w:rPr>
        <w:t>Social services shall provide, or have available by contract, at least one staff member who has: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master’s degree from an accredited school of social work;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bachelor’s degree in social work with two years’ experience in the care of persons with mental disorders.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Therapeutic services. </w:t>
      </w:r>
      <w:r>
        <w:rPr>
          <w:rFonts w:ascii="Times New Roman" w:hAnsi="Times New Roman"/>
          <w:b w:val="false"/>
          <w:i w:val="false"/>
          <w:color w:val="000000"/>
          <w:sz w:val="22"/>
        </w:rPr>
        <w:t>Therapeutic activities shall be provided by qualified therapists. The activities shall be appropriate to the needs and interests of the patients.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51.23(3)</w:t>
      </w:r>
      <w:r>
        <w:rPr>
          <w:rFonts w:ascii="Times New Roman" w:hAnsi="Times New Roman"/>
          <w:b w:val="false"/>
          <w:i w:val="false"/>
          <w:color w:val="000000"/>
          <w:sz w:val="22"/>
        </w:rPr>
        <w:t> </w:t>
      </w:r>
      <w:r>
        <w:rPr>
          <w:rFonts w:ascii="Times New Roman" w:hAnsi="Times New Roman"/>
          <w:b w:val="false"/>
          <w:i/>
          <w:color w:val="000000"/>
          <w:sz w:val="22"/>
        </w:rPr>
        <w:t xml:space="preserve">Individual written plan of care. </w:t>
      </w:r>
      <w:r>
        <w:rPr>
          <w:rFonts w:ascii="Times New Roman" w:hAnsi="Times New Roman"/>
          <w:b w:val="false"/>
          <w:i w:val="false"/>
          <w:color w:val="000000"/>
          <w:sz w:val="22"/>
        </w:rPr>
        <w:t>An individual written plan of care shall be developed by an interdisciplinary team of a physician and other personnel who are employed by, or who provide service under contract to patients in, the facility. The plan of care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Be based on a diagnostic and psychiatric evaluation that includes examination of the medical, psychological, social, behavioral, and developmental aspects of the patient. The initial diagnostic and psychiatric evaluation shall be completed within 60 hours of admission;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Be developed by an interdisciplinary team in consultation with the patient, the patient’s legal guardian, and others who are currently providing services or who will provide care upon discharge;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State treatment objectives through measurable and obtainable outcomes;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Prescribe an integrated program of therapies, activities, and experiences designed to meet those objectives;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Include an appropriate postdischarge plan with coordination of services to provide continuity of care following discharge;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Be reviewed as needed by the interdisciplinary team for the continued appropriateness of the plan and for a determination of needed changes.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7887C</w:t>
      </w:r>
      <w:r>
        <w:rPr>
          <w:rFonts w:ascii="Times New Roman" w:hAnsi="Times New Roman"/>
          <w:b w:val="false"/>
          <w:i w:val="false"/>
          <w:color w:val="000000"/>
          <w:sz w:val="16"/>
        </w:rPr>
        <w:t>, IAB 5/1/24, effective 6/5/24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481—51.24</w:t>
      </w:r>
      <w:r>
        <w:rPr>
          <w:rFonts w:ascii="Times New Roman" w:hAnsi="Times New Roman"/>
          <w:b/>
          <w:i w:val="false"/>
          <w:color w:val="000000"/>
          <w:sz w:val="22"/>
        </w:rPr>
        <w:t xml:space="preserve">(135B) </w:t>
      </w:r>
      <w:r>
        <w:rPr>
          <w:rFonts w:ascii="Times New Roman" w:hAnsi="Times New Roman"/>
          <w:b/>
          <w:i w:val="false"/>
          <w:color w:val="000000"/>
          <w:sz w:val="22"/>
        </w:rPr>
        <w:t xml:space="preserve">Long-term care service.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51.24(1)</w:t>
      </w:r>
      <w:r>
        <w:rPr>
          <w:rFonts w:ascii="Times New Roman" w:hAnsi="Times New Roman"/>
          <w:b w:val="false"/>
          <w:i w:val="false"/>
          <w:color w:val="000000"/>
          <w:sz w:val="22"/>
        </w:rPr>
        <w:t> </w:t>
      </w:r>
      <w:r>
        <w:rPr>
          <w:rFonts w:ascii="Times New Roman" w:hAnsi="Times New Roman"/>
          <w:b w:val="false"/>
          <w:i/>
          <w:color w:val="000000"/>
          <w:sz w:val="22"/>
        </w:rPr>
        <w:t xml:space="preserve">Long-term care service definition. </w:t>
      </w:r>
      <w:r>
        <w:rPr>
          <w:rFonts w:ascii="Times New Roman" w:hAnsi="Times New Roman"/>
          <w:b w:val="false"/>
          <w:i w:val="false"/>
          <w:color w:val="000000"/>
          <w:sz w:val="22"/>
        </w:rPr>
        <w:t xml:space="preserve">Long-term care service means any building or distinct part of a building utilized by the hospital for the provision of a service that would fall within the definition of a health care facility in Iowa Code chapter </w:t>
      </w:r>
      <w:hyperlink r:id="rId29">
        <w:r>
          <w:rPr>
            <w:rStyle w:val="Hyperlink"/>
            <w:rFonts w:ascii="Times New Roman" w:hAnsi="Times New Roman"/>
            <w:b w:val="false"/>
            <w:i w:val="false"/>
            <w:color w:val="000000"/>
            <w:sz w:val="22"/>
          </w:rPr>
          <w:t>135C</w:t>
        </w:r>
      </w:hyperlink>
      <w:r>
        <w:rPr>
          <w:rFonts w:ascii="Times New Roman" w:hAnsi="Times New Roman"/>
          <w:b w:val="false"/>
          <w:i w:val="false"/>
          <w:color w:val="000000"/>
          <w:sz w:val="22"/>
        </w:rPr>
        <w:t xml:space="preserve"> if it was not operating as part of a hospital licensed under Iowa Code chapter </w:t>
      </w:r>
      <w:hyperlink r:id="rId30">
        <w:r>
          <w:rPr>
            <w:rStyle w:val="Hyperlink"/>
            <w:rFonts w:ascii="Times New Roman" w:hAnsi="Times New Roman"/>
            <w:b w:val="false"/>
            <w:i w:val="false"/>
            <w:color w:val="000000"/>
            <w:sz w:val="22"/>
          </w:rPr>
          <w:t>135B</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51.24(2)</w:t>
      </w:r>
      <w:r>
        <w:rPr>
          <w:rFonts w:ascii="Times New Roman" w:hAnsi="Times New Roman"/>
          <w:b w:val="false"/>
          <w:i w:val="false"/>
          <w:color w:val="000000"/>
          <w:sz w:val="22"/>
        </w:rPr>
        <w:t> </w:t>
      </w:r>
      <w:r>
        <w:rPr>
          <w:rFonts w:ascii="Times New Roman" w:hAnsi="Times New Roman"/>
          <w:b w:val="false"/>
          <w:i/>
          <w:color w:val="000000"/>
          <w:sz w:val="22"/>
        </w:rPr>
        <w:t xml:space="preserve">Long-term care service general requirements. </w:t>
      </w:r>
      <w:r>
        <w:rPr>
          <w:rFonts w:ascii="Times New Roman" w:hAnsi="Times New Roman"/>
          <w:b w:val="false"/>
          <w:i w:val="false"/>
          <w:color w:val="000000"/>
          <w:sz w:val="22"/>
        </w:rPr>
        <w:t xml:space="preserve">The general requirements for the hospital’s long-term care service are the same as required by Iowa Code chapter </w:t>
      </w:r>
      <w:hyperlink r:id="rId31">
        <w:r>
          <w:rPr>
            <w:rStyle w:val="Hyperlink"/>
            <w:rFonts w:ascii="Times New Roman" w:hAnsi="Times New Roman"/>
            <w:b w:val="false"/>
            <w:i w:val="false"/>
            <w:color w:val="000000"/>
            <w:sz w:val="22"/>
          </w:rPr>
          <w:t>135C</w:t>
        </w:r>
      </w:hyperlink>
      <w:r>
        <w:rPr>
          <w:rFonts w:ascii="Times New Roman" w:hAnsi="Times New Roman"/>
          <w:b w:val="false"/>
          <w:i w:val="false"/>
          <w:color w:val="000000"/>
          <w:sz w:val="22"/>
        </w:rPr>
        <w:t xml:space="preserve"> or rules promulgated thereunder for the category of health care facility involved. Exceptions to those rules requiring distinct parts to be established may be waived where it is found to be in the best interest of the long-term care resident and of no detriment to the patients in the hospital. Requests for waivers to other applicable rules may be made in accordance with the appropriate health care facility rules.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51.24(3)</w:t>
      </w:r>
      <w:r>
        <w:rPr>
          <w:rFonts w:ascii="Times New Roman" w:hAnsi="Times New Roman"/>
          <w:b w:val="false"/>
          <w:i w:val="false"/>
          <w:color w:val="000000"/>
          <w:sz w:val="22"/>
        </w:rPr>
        <w:t> </w:t>
      </w:r>
      <w:r>
        <w:rPr>
          <w:rFonts w:ascii="Times New Roman" w:hAnsi="Times New Roman"/>
          <w:b w:val="false"/>
          <w:i/>
          <w:color w:val="000000"/>
          <w:sz w:val="22"/>
        </w:rPr>
        <w:t xml:space="preserve">Long-term care service staff. </w:t>
      </w:r>
      <w:r>
        <w:rPr>
          <w:rFonts w:ascii="Times New Roman" w:hAnsi="Times New Roman"/>
          <w:b w:val="false"/>
          <w:i w:val="false"/>
          <w:color w:val="000000"/>
          <w:sz w:val="22"/>
        </w:rPr>
        <w:t xml:space="preserve">Where a hospital operates a freestanding nursing care facility, it shall be under the administrative authority of a licensed nursing home administrator who will be responsible to the hospital’s administrator. Where a hospital operates a distinct part long-term care unit under the hospital license, a licensed nursing home administrator is not required. Other staffing requirements for the hospital’s long-term care service are the same as required by Iowa Code chapter </w:t>
      </w:r>
      <w:hyperlink r:id="rId32">
        <w:r>
          <w:rPr>
            <w:rStyle w:val="Hyperlink"/>
            <w:rFonts w:ascii="Times New Roman" w:hAnsi="Times New Roman"/>
            <w:b w:val="false"/>
            <w:i w:val="false"/>
            <w:color w:val="000000"/>
            <w:sz w:val="22"/>
          </w:rPr>
          <w:t>135C</w:t>
        </w:r>
      </w:hyperlink>
      <w:r>
        <w:rPr>
          <w:rFonts w:ascii="Times New Roman" w:hAnsi="Times New Roman"/>
          <w:b w:val="false"/>
          <w:i w:val="false"/>
          <w:color w:val="000000"/>
          <w:sz w:val="22"/>
        </w:rPr>
        <w:t xml:space="preserve"> or rules promulgated thereunder.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7887C</w:t>
      </w:r>
      <w:r>
        <w:rPr>
          <w:rFonts w:ascii="Times New Roman" w:hAnsi="Times New Roman"/>
          <w:b w:val="false"/>
          <w:i w:val="false"/>
          <w:color w:val="000000"/>
          <w:sz w:val="16"/>
        </w:rPr>
        <w:t>, IAB 5/1/24, effective 6/5/24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481—51.25</w:t>
      </w:r>
      <w:r>
        <w:rPr>
          <w:rFonts w:ascii="Times New Roman" w:hAnsi="Times New Roman"/>
          <w:b/>
          <w:i w:val="false"/>
          <w:color w:val="000000"/>
          <w:sz w:val="22"/>
        </w:rPr>
        <w:t xml:space="preserve">(135B) </w:t>
      </w:r>
      <w:r>
        <w:rPr>
          <w:rFonts w:ascii="Times New Roman" w:hAnsi="Times New Roman"/>
          <w:b/>
          <w:i w:val="false"/>
          <w:color w:val="000000"/>
          <w:sz w:val="22"/>
        </w:rPr>
        <w:t xml:space="preserve">Criminal, dependent adult abuse, and child abuse record checks. </w:t>
      </w:r>
      <w:r>
        <w:rPr>
          <w:rFonts w:ascii="Times New Roman" w:hAnsi="Times New Roman"/>
          <w:b w:val="false"/>
          <w:i w:val="false"/>
          <w:color w:val="000000"/>
          <w:sz w:val="22"/>
        </w:rPr>
        <w:t xml:space="preserve">The requirements for criminal, dependent adult abuse, and child abuse records checks applicable to health care facilities set forth in rule </w:t>
      </w:r>
      <w:hyperlink r:id="rId33">
        <w:r>
          <w:rPr>
            <w:rStyle w:val="Hyperlink"/>
            <w:rFonts w:ascii="Times New Roman" w:hAnsi="Times New Roman"/>
            <w:b w:val="false"/>
            <w:i w:val="false"/>
            <w:color w:val="000000"/>
            <w:sz w:val="22"/>
          </w:rPr>
          <w:t>481—50.9</w:t>
        </w:r>
      </w:hyperlink>
      <w:r>
        <w:rPr>
          <w:rFonts w:ascii="Times New Roman" w:hAnsi="Times New Roman"/>
          <w:b w:val="false"/>
          <w:i w:val="false"/>
          <w:color w:val="000000"/>
          <w:sz w:val="22"/>
        </w:rPr>
        <w:t>(135C) are applicable to hospitals.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7887C</w:t>
      </w:r>
      <w:r>
        <w:rPr>
          <w:rFonts w:ascii="Times New Roman" w:hAnsi="Times New Roman"/>
          <w:b w:val="false"/>
          <w:i w:val="false"/>
          <w:color w:val="000000"/>
          <w:sz w:val="16"/>
        </w:rPr>
        <w:t>, IAB 5/1/24, effective 6/5/24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481—51.26</w:t>
      </w:r>
      <w:r>
        <w:rPr>
          <w:rFonts w:ascii="Times New Roman" w:hAnsi="Times New Roman"/>
          <w:b/>
          <w:i w:val="false"/>
          <w:color w:val="000000"/>
          <w:sz w:val="22"/>
        </w:rPr>
        <w:t xml:space="preserve">(135B) </w:t>
      </w:r>
      <w:r>
        <w:rPr>
          <w:rFonts w:ascii="Times New Roman" w:hAnsi="Times New Roman"/>
          <w:b/>
          <w:i w:val="false"/>
          <w:color w:val="000000"/>
          <w:sz w:val="22"/>
        </w:rPr>
        <w:t xml:space="preserve">Minimum standards for construction.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51.26(1)</w:t>
      </w:r>
      <w:r>
        <w:rPr>
          <w:rFonts w:ascii="Times New Roman" w:hAnsi="Times New Roman"/>
          <w:b w:val="false"/>
          <w:i w:val="false"/>
          <w:color w:val="000000"/>
          <w:sz w:val="22"/>
        </w:rPr>
        <w:t> </w:t>
      </w:r>
      <w:r>
        <w:rPr>
          <w:rFonts w:ascii="Times New Roman" w:hAnsi="Times New Roman"/>
          <w:b w:val="false"/>
          <w:i/>
          <w:color w:val="000000"/>
          <w:sz w:val="22"/>
        </w:rPr>
        <w:t xml:space="preserve">Minimum standards. </w:t>
      </w:r>
      <w:r>
        <w:rPr>
          <w:rFonts w:ascii="Times New Roman" w:hAnsi="Times New Roman"/>
          <w:b w:val="false"/>
          <w:i w:val="false"/>
          <w:color w:val="000000"/>
          <w:sz w:val="22"/>
        </w:rPr>
        <w:t>The following construction standards are applicable to hospitals and off-site premises licensed under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Construction shall be in accordance with the standards set forth in the Guidelines for Design and Construction of Hospitals, 2018 edition, published by the Facility Guidelines Institute.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Existing hospitals and off-site premises built in compliance with prior editions of the hospital construction guidelines will be deemed in compliance with subsequent regulations, with the exception of any new structural renovations, additions, functional alterations, or changes in utilization to existing facilities, which shall meet the standards specified in this subrule.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The design and construction of a hospital or off-site premises shall be in conformance with </w:t>
      </w:r>
      <w:hyperlink r:id="rId34">
        <w:r>
          <w:rPr>
            <w:rStyle w:val="Hyperlink"/>
            <w:rFonts w:ascii="Times New Roman" w:hAnsi="Times New Roman"/>
            <w:b w:val="false"/>
            <w:i w:val="false"/>
            <w:color w:val="000000"/>
            <w:sz w:val="22"/>
          </w:rPr>
          <w:t>661—Chapter 205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In jurisdictions without a local building code enforcement program, the construction shall be in conformance with the state building code, as authorized by Iowa Code section </w:t>
      </w:r>
      <w:hyperlink r:id="rId35">
        <w:r>
          <w:rPr>
            <w:rStyle w:val="Hyperlink"/>
            <w:rFonts w:ascii="Times New Roman" w:hAnsi="Times New Roman"/>
            <w:b w:val="false"/>
            <w:i w:val="false"/>
            <w:color w:val="000000"/>
            <w:sz w:val="22"/>
          </w:rPr>
          <w:t>103A.7</w:t>
        </w:r>
      </w:hyperlink>
      <w:r>
        <w:rPr>
          <w:rFonts w:ascii="Times New Roman" w:hAnsi="Times New Roman"/>
          <w:b w:val="false"/>
          <w:i w:val="false"/>
          <w:color w:val="000000"/>
          <w:sz w:val="22"/>
        </w:rPr>
        <w:t>, in effect at the time of plan submittal for review and approval. In jurisdictions with a local building code enforcement program, local building code enforcement must include both the adoption and enforcement of a local building code through plan reviews and inspections.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If an applicable requirement of </w:t>
      </w:r>
      <w:hyperlink r:id="rId36">
        <w:r>
          <w:rPr>
            <w:rStyle w:val="Hyperlink"/>
            <w:rFonts w:ascii="Times New Roman" w:hAnsi="Times New Roman"/>
            <w:b w:val="false"/>
            <w:i w:val="false"/>
            <w:color w:val="000000"/>
            <w:sz w:val="22"/>
          </w:rPr>
          <w:t>661—Chapter 205</w:t>
        </w:r>
      </w:hyperlink>
      <w:r>
        <w:rPr>
          <w:rFonts w:ascii="Times New Roman" w:hAnsi="Times New Roman"/>
          <w:b w:val="false"/>
          <w:i w:val="false"/>
          <w:color w:val="000000"/>
          <w:sz w:val="22"/>
        </w:rPr>
        <w:t xml:space="preserve"> is inconsistent with an applicable requirement of the state building code, the hospital or off-site premises is deemed to be in compliance with the state building code requirement if the requirement of </w:t>
      </w:r>
      <w:hyperlink r:id="rId37">
        <w:r>
          <w:rPr>
            <w:rStyle w:val="Hyperlink"/>
            <w:rFonts w:ascii="Times New Roman" w:hAnsi="Times New Roman"/>
            <w:b w:val="false"/>
            <w:i w:val="false"/>
            <w:color w:val="000000"/>
            <w:sz w:val="22"/>
          </w:rPr>
          <w:t>661—Chapter 205</w:t>
        </w:r>
      </w:hyperlink>
      <w:r>
        <w:rPr>
          <w:rFonts w:ascii="Times New Roman" w:hAnsi="Times New Roman"/>
          <w:b w:val="false"/>
          <w:i w:val="false"/>
          <w:color w:val="000000"/>
          <w:sz w:val="22"/>
        </w:rPr>
        <w:t xml:space="preserve"> is met.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51.26(2)</w:t>
      </w:r>
      <w:r>
        <w:rPr>
          <w:rFonts w:ascii="Times New Roman" w:hAnsi="Times New Roman"/>
          <w:b w:val="false"/>
          <w:i w:val="false"/>
          <w:color w:val="000000"/>
          <w:sz w:val="22"/>
        </w:rPr>
        <w:t> </w:t>
      </w:r>
      <w:r>
        <w:rPr>
          <w:rFonts w:ascii="Times New Roman" w:hAnsi="Times New Roman"/>
          <w:b w:val="false"/>
          <w:i/>
          <w:color w:val="000000"/>
          <w:sz w:val="22"/>
        </w:rPr>
        <w:t xml:space="preserve">Submission of construction documents. </w:t>
      </w:r>
      <w:r>
        <w:rPr>
          <w:rFonts w:ascii="Times New Roman" w:hAnsi="Times New Roman"/>
          <w:b w:val="false"/>
          <w:i w:val="false"/>
          <w:color w:val="000000"/>
          <w:sz w:val="22"/>
        </w:rPr>
        <w:t xml:space="preserve">Submissions shall comply with rule </w:t>
      </w:r>
      <w:hyperlink r:id="rId38">
        <w:r>
          <w:rPr>
            <w:rStyle w:val="Hyperlink"/>
            <w:rFonts w:ascii="Times New Roman" w:hAnsi="Times New Roman"/>
            <w:b w:val="false"/>
            <w:i w:val="false"/>
            <w:color w:val="000000"/>
            <w:sz w:val="22"/>
          </w:rPr>
          <w:t>661—300.4</w:t>
        </w:r>
      </w:hyperlink>
      <w:r>
        <w:rPr>
          <w:rFonts w:ascii="Times New Roman" w:hAnsi="Times New Roman"/>
          <w:b w:val="false"/>
          <w:i w:val="false"/>
          <w:color w:val="000000"/>
          <w:sz w:val="22"/>
        </w:rPr>
        <w:t xml:space="preserve">(103A). The responsible design professional shall certify that the building plans meet the requirements specified in subrule </w:t>
      </w:r>
      <w:hyperlink r:id="rId39">
        <w:r>
          <w:rPr>
            <w:rStyle w:val="Hyperlink"/>
            <w:rFonts w:ascii="Times New Roman" w:hAnsi="Times New Roman"/>
            <w:b w:val="false"/>
            <w:i w:val="false"/>
            <w:color w:val="000000"/>
            <w:sz w:val="22"/>
          </w:rPr>
          <w:t>51.26(1)</w:t>
        </w:r>
      </w:hyperlink>
      <w:r>
        <w:rPr>
          <w:rFonts w:ascii="Times New Roman" w:hAnsi="Times New Roman"/>
          <w:b w:val="false"/>
          <w:i w:val="false"/>
          <w:color w:val="000000"/>
          <w:sz w:val="22"/>
        </w:rPr>
        <w:t xml:space="preserve">, unless a waiver has been granted pursuant to subrule </w:t>
      </w:r>
      <w:hyperlink r:id="rId40">
        <w:r>
          <w:rPr>
            <w:rStyle w:val="Hyperlink"/>
            <w:rFonts w:ascii="Times New Roman" w:hAnsi="Times New Roman"/>
            <w:b w:val="false"/>
            <w:i w:val="false"/>
            <w:color w:val="000000"/>
            <w:sz w:val="22"/>
          </w:rPr>
          <w:t>51.26(3)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51.26(3)</w:t>
      </w:r>
      <w:r>
        <w:rPr>
          <w:rFonts w:ascii="Times New Roman" w:hAnsi="Times New Roman"/>
          <w:b w:val="false"/>
          <w:i w:val="false"/>
          <w:color w:val="000000"/>
          <w:sz w:val="22"/>
        </w:rPr>
        <w:t> </w:t>
      </w:r>
      <w:r>
        <w:rPr>
          <w:rFonts w:ascii="Times New Roman" w:hAnsi="Times New Roman"/>
          <w:b w:val="false"/>
          <w:i/>
          <w:color w:val="000000"/>
          <w:sz w:val="22"/>
        </w:rPr>
        <w:t xml:space="preserve">Waivers. </w:t>
      </w:r>
      <w:r>
        <w:rPr>
          <w:rFonts w:ascii="Times New Roman" w:hAnsi="Times New Roman"/>
          <w:b w:val="false"/>
          <w:i w:val="false"/>
          <w:color w:val="000000"/>
          <w:sz w:val="22"/>
        </w:rPr>
        <w:t xml:space="preserve">Requests for waiver may be submitted to the department in accordance with </w:t>
      </w:r>
      <w:hyperlink r:id="rId41">
        <w:r>
          <w:rPr>
            <w:rStyle w:val="Hyperlink"/>
            <w:rFonts w:ascii="Times New Roman" w:hAnsi="Times New Roman"/>
            <w:b w:val="false"/>
            <w:i w:val="false"/>
            <w:color w:val="000000"/>
            <w:sz w:val="22"/>
          </w:rPr>
          <w:t>7—Chapter 2504</w:t>
        </w:r>
      </w:hyperlink>
      <w:r>
        <w:rPr>
          <w:rFonts w:ascii="Times New Roman" w:hAnsi="Times New Roman"/>
          <w:b w:val="false"/>
          <w:i w:val="false"/>
          <w:color w:val="000000"/>
          <w:sz w:val="22"/>
        </w:rPr>
        <w:t>. Any waiver granted is limited to the specific project under consideration and does not establish a precedent for similar acceptance in other cases. The request must demonstrate how patient safety and the quality of care offered will not be compromised by the waiver. In determining whether a waiver request will be granted, the director will consider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Whether the design and planning for the specific property offers improved or compensating features to provide equivalent desirability and utility;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Whether alternate or special construction methods, techniques, and mechanical equipment offer equivalent durability, utility, health, and safety;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Whether the health, safety or welfare of any patient is endangered;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Occupancy and function of the building;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type of licensing.</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7887C</w:t>
      </w:r>
      <w:r>
        <w:rPr>
          <w:rFonts w:ascii="Times New Roman" w:hAnsi="Times New Roman"/>
          <w:b w:val="false"/>
          <w:i w:val="false"/>
          <w:color w:val="000000"/>
          <w:sz w:val="16"/>
        </w:rPr>
        <w:t>, IAB 5/1/24, effective 6/5/24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8/5/26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481—51.27</w:t>
      </w:r>
      <w:r>
        <w:rPr>
          <w:rFonts w:ascii="Times New Roman" w:hAnsi="Times New Roman"/>
          <w:b/>
          <w:i w:val="false"/>
          <w:color w:val="000000"/>
          <w:sz w:val="22"/>
        </w:rPr>
        <w:t xml:space="preserve">(135B) </w:t>
      </w:r>
      <w:r>
        <w:rPr>
          <w:rFonts w:ascii="Times New Roman" w:hAnsi="Times New Roman"/>
          <w:b/>
          <w:i w:val="false"/>
          <w:color w:val="000000"/>
          <w:sz w:val="22"/>
        </w:rPr>
        <w:t xml:space="preserve">Critical access hospitals. </w:t>
      </w:r>
      <w:r>
        <w:rPr>
          <w:rFonts w:ascii="Times New Roman" w:hAnsi="Times New Roman"/>
          <w:b w:val="false"/>
          <w:i w:val="false"/>
          <w:color w:val="000000"/>
          <w:sz w:val="22"/>
        </w:rPr>
        <w:t>Critical access hospitals shall meet the federal conditions of participation as a critical access hospital as described in 42 CFR Part 485, Subpart F, as amended to November 7, 2023, and any federal interpretive guidelines. The requirements of this chapter applicable to hospitals are generally applicable to critical access hospitals unless compliance would be inconsistent with 42 CFR Part 485, Subpart F, as amended to November 7, 2023, and any interpretive guidelines. If swing-bed approval has been granted, all 25 beds may be used interchangeably for acute or skilled nursing facility level of care services.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7887C</w:t>
      </w:r>
      <w:r>
        <w:rPr>
          <w:rFonts w:ascii="Times New Roman" w:hAnsi="Times New Roman"/>
          <w:b w:val="false"/>
          <w:i w:val="false"/>
          <w:color w:val="000000"/>
          <w:sz w:val="16"/>
        </w:rPr>
        <w:t>, IAB 5/1/24, effective 6/5/24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481—51.28</w:t>
      </w:r>
      <w:r>
        <w:rPr>
          <w:rFonts w:ascii="Times New Roman" w:hAnsi="Times New Roman"/>
          <w:b/>
          <w:i w:val="false"/>
          <w:color w:val="000000"/>
          <w:sz w:val="22"/>
        </w:rPr>
        <w:t xml:space="preserve">(135B) </w:t>
      </w:r>
      <w:r>
        <w:rPr>
          <w:rFonts w:ascii="Times New Roman" w:hAnsi="Times New Roman"/>
          <w:b/>
          <w:i w:val="false"/>
          <w:color w:val="000000"/>
          <w:sz w:val="22"/>
        </w:rPr>
        <w:t xml:space="preserve">Rural emergency hospitals. </w:t>
      </w:r>
      <w:r>
        <w:rPr>
          <w:rFonts w:ascii="Times New Roman" w:hAnsi="Times New Roman"/>
          <w:b w:val="false"/>
          <w:i w:val="false"/>
          <w:color w:val="000000"/>
          <w:sz w:val="22"/>
        </w:rPr>
        <w:t xml:space="preserve">Rural emergency hospitals shall meet the federal conditions of participation for rural emergency hospitals, as set forth in 42 CFR Part 485, Subpart E, as amended to January 1, 2023, and any federal interpretive guidelines. The requirements of this chapter applicable to hospitals are generally applicable to rural emergency hospitals unless compliance would be inconsistent with 42 CFR Part 485, Subpart E, as amended to January 1, 2023, and any federal interpretive guidelines.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7887C</w:t>
      </w:r>
      <w:r>
        <w:rPr>
          <w:rFonts w:ascii="Times New Roman" w:hAnsi="Times New Roman"/>
          <w:b w:val="false"/>
          <w:i w:val="false"/>
          <w:color w:val="000000"/>
          <w:sz w:val="16"/>
        </w:rPr>
        <w:t>, IAB 5/1/24, effective 6/5/24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481—51.29</w:t>
      </w:r>
      <w:r>
        <w:rPr>
          <w:rFonts w:ascii="Times New Roman" w:hAnsi="Times New Roman"/>
          <w:b/>
          <w:i w:val="false"/>
          <w:color w:val="000000"/>
          <w:sz w:val="22"/>
        </w:rPr>
        <w:t xml:space="preserve">(135B) </w:t>
      </w:r>
      <w:r>
        <w:rPr>
          <w:rFonts w:ascii="Times New Roman" w:hAnsi="Times New Roman"/>
          <w:b/>
          <w:i w:val="false"/>
          <w:color w:val="000000"/>
          <w:sz w:val="22"/>
        </w:rPr>
        <w:t xml:space="preserve">Specialized hospitals. </w:t>
      </w:r>
      <w:r>
        <w:rPr>
          <w:rFonts w:ascii="Times New Roman" w:hAnsi="Times New Roman"/>
          <w:b w:val="false"/>
          <w:i w:val="false"/>
          <w:color w:val="000000"/>
          <w:sz w:val="22"/>
        </w:rPr>
        <w:t>A specialized hospital shall meet the requirements for a general hospital. The diagnosis, treatment or care at a specialized hospital shall be administered by or performed under the direction of persons especially qualified in the diagnosis and treatment of the particular illness, injury, or infirmity.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7887C</w:t>
      </w:r>
      <w:r>
        <w:rPr>
          <w:rFonts w:ascii="Times New Roman" w:hAnsi="Times New Roman"/>
          <w:b w:val="false"/>
          <w:i w:val="false"/>
          <w:color w:val="000000"/>
          <w:sz w:val="16"/>
        </w:rPr>
        <w:t>, IAB 5/1/24, effective 6/5/24</w:t>
      </w:r>
      <w:r>
        <w:rPr>
          <w:rFonts w:ascii="Times New Roman" w:hAnsi="Times New Roman"/>
          <w:b w:val="false"/>
          <w:i w:val="false"/>
          <w:color w:val="000000"/>
          <w:sz w:val="16"/>
        </w:rPr>
        <w:t>]</w:t>
      </w:r>
    </w:p>
    <w:p>
      <w:pPr>
        <w:spacing w:before="0" w:after="0"/>
        <w:ind w:left="120"/>
        <w:jc w:val="both"/>
      </w:pPr>
      <w:r>
        <w:rPr>
          <w:rFonts w:ascii="Times New Roman" w:hAnsi="Times New Roman"/>
          <w:b w:val="false"/>
          <w:i w:val="false"/>
          <w:color w:val="000000"/>
          <w:sz w:val="22"/>
        </w:rPr>
        <w:t xml:space="preserve">These rules are intended to implement Iowa Code sections </w:t>
      </w:r>
      <w:hyperlink r:id="rId42">
        <w:r>
          <w:rPr>
            <w:rStyle w:val="Hyperlink"/>
            <w:rFonts w:ascii="Times New Roman" w:hAnsi="Times New Roman"/>
            <w:b w:val="false"/>
            <w:i w:val="false"/>
            <w:color w:val="000000"/>
            <w:sz w:val="22"/>
          </w:rPr>
          <w:t>135B.3A</w:t>
        </w:r>
      </w:hyperlink>
      <w:r>
        <w:rPr>
          <w:rFonts w:ascii="Times New Roman" w:hAnsi="Times New Roman"/>
          <w:b w:val="false"/>
          <w:i w:val="false"/>
          <w:color w:val="000000"/>
          <w:sz w:val="22"/>
        </w:rPr>
        <w:t xml:space="preserve">, </w:t>
      </w:r>
      <w:hyperlink r:id="rId43">
        <w:r>
          <w:rPr>
            <w:rStyle w:val="Hyperlink"/>
            <w:rFonts w:ascii="Times New Roman" w:hAnsi="Times New Roman"/>
            <w:b w:val="false"/>
            <w:i w:val="false"/>
            <w:color w:val="000000"/>
            <w:sz w:val="22"/>
          </w:rPr>
          <w:t>135B.7</w:t>
        </w:r>
      </w:hyperlink>
      <w:r>
        <w:rPr>
          <w:rFonts w:ascii="Times New Roman" w:hAnsi="Times New Roman"/>
          <w:b w:val="false"/>
          <w:i w:val="false"/>
          <w:color w:val="000000"/>
          <w:sz w:val="22"/>
        </w:rPr>
        <w:t xml:space="preserve"> and </w:t>
      </w:r>
      <w:hyperlink r:id="rId44">
        <w:r>
          <w:rPr>
            <w:rStyle w:val="Hyperlink"/>
            <w:rFonts w:ascii="Times New Roman" w:hAnsi="Times New Roman"/>
            <w:b w:val="false"/>
            <w:i w:val="false"/>
            <w:color w:val="000000"/>
            <w:sz w:val="22"/>
          </w:rPr>
          <w:t>135B.7A</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June 30, 1948]</w:t>
      </w:r>
    </w:p>
    <w:p>
      <w:pPr>
        <w:spacing w:before="0" w:after="0"/>
        <w:ind w:left="120"/>
        <w:jc w:val="center"/>
      </w:pPr>
      <w:r>
        <w:rPr>
          <w:rFonts w:ascii="Times New Roman" w:hAnsi="Times New Roman"/>
          <w:b w:val="false"/>
          <w:i w:val="false"/>
          <w:color w:val="000000"/>
          <w:sz w:val="21"/>
        </w:rPr>
        <w:t>[Filed 9/9/76, Notice 6/14/76—published 10/6/76, effective 11/15/76]</w:t>
      </w:r>
    </w:p>
    <w:p>
      <w:pPr>
        <w:spacing w:before="0" w:after="0"/>
        <w:ind w:left="120"/>
        <w:jc w:val="center"/>
      </w:pPr>
      <w:r>
        <w:rPr>
          <w:rFonts w:ascii="Times New Roman" w:hAnsi="Times New Roman"/>
          <w:b w:val="false"/>
          <w:i w:val="false"/>
          <w:color w:val="000000"/>
          <w:sz w:val="21"/>
        </w:rPr>
        <w:t>[Filed 11/12/76, Notice 10/6/76—published 12/1/76, effective 1/5/77]</w:t>
      </w:r>
    </w:p>
    <w:p>
      <w:pPr>
        <w:spacing w:before="0" w:after="0"/>
        <w:ind w:left="120"/>
        <w:jc w:val="center"/>
      </w:pPr>
      <w:r>
        <w:rPr>
          <w:rFonts w:ascii="Times New Roman" w:hAnsi="Times New Roman"/>
          <w:b w:val="false"/>
          <w:i w:val="false"/>
          <w:color w:val="000000"/>
          <w:sz w:val="21"/>
        </w:rPr>
        <w:t>[Filed 11/10/77, Notice 9/7/77—published 11/30/77, effective 1/4/78]</w:t>
      </w:r>
    </w:p>
    <w:p>
      <w:pPr>
        <w:spacing w:before="0" w:after="0"/>
        <w:ind w:left="120"/>
        <w:jc w:val="center"/>
      </w:pPr>
      <w:r>
        <w:rPr>
          <w:rFonts w:ascii="Times New Roman" w:hAnsi="Times New Roman"/>
          <w:b w:val="false"/>
          <w:i w:val="false"/>
          <w:color w:val="000000"/>
          <w:sz w:val="21"/>
        </w:rPr>
        <w:t>[Filed 12/28/84, Notice 10/10/84—published 1/16/85, effective 4/3/85]</w:t>
      </w:r>
    </w:p>
    <w:p>
      <w:pPr>
        <w:spacing w:before="0" w:after="0"/>
        <w:ind w:left="120"/>
        <w:jc w:val="center"/>
      </w:pPr>
      <w:r>
        <w:rPr>
          <w:rFonts w:ascii="Times New Roman" w:hAnsi="Times New Roman"/>
          <w:b w:val="false"/>
          <w:i w:val="false"/>
          <w:color w:val="000000"/>
          <w:sz w:val="21"/>
        </w:rPr>
        <w:t>[Filed 1/10/86, Notice 11/6/85—published 1/29/86, effective 3/5/86]</w:t>
      </w:r>
    </w:p>
    <w:p>
      <w:pPr>
        <w:spacing w:before="0" w:after="0"/>
        <w:ind w:left="120"/>
        <w:jc w:val="center"/>
      </w:pPr>
      <w:r>
        <w:rPr>
          <w:rFonts w:ascii="Times New Roman" w:hAnsi="Times New Roman"/>
          <w:b w:val="false"/>
          <w:i w:val="false"/>
          <w:color w:val="000000"/>
          <w:sz w:val="21"/>
        </w:rPr>
        <w:t>[Filed 4/1/86, Notice 1/1/86—published 4/23/86, effective 5/28/86]</w:t>
      </w:r>
    </w:p>
    <w:p>
      <w:pPr>
        <w:spacing w:before="0" w:after="0"/>
        <w:ind w:left="120"/>
        <w:jc w:val="center"/>
      </w:pPr>
      <w:r>
        <w:rPr>
          <w:rFonts w:ascii="Times New Roman" w:hAnsi="Times New Roman"/>
          <w:b w:val="false"/>
          <w:i w:val="false"/>
          <w:color w:val="000000"/>
          <w:sz w:val="21"/>
        </w:rPr>
        <w:t>[Filed 5/15/86, Notice 2/26/86—published 6/4/86, effective 7/9/86]</w:t>
      </w:r>
    </w:p>
    <w:p>
      <w:pPr>
        <w:spacing w:before="0" w:after="0"/>
        <w:ind w:left="120"/>
        <w:jc w:val="center"/>
      </w:pPr>
      <w:r>
        <w:rPr>
          <w:rFonts w:ascii="Times New Roman" w:hAnsi="Times New Roman"/>
          <w:b w:val="false"/>
          <w:i w:val="false"/>
          <w:color w:val="000000"/>
          <w:sz w:val="21"/>
        </w:rPr>
        <w:t>[Filed 5/16/86, Notice 1/1/86—published 6/4/86, effective 7/9/86]</w:t>
      </w:r>
    </w:p>
    <w:p>
      <w:pPr>
        <w:spacing w:before="0" w:after="0"/>
        <w:ind w:left="120"/>
        <w:jc w:val="center"/>
      </w:pPr>
      <w:r>
        <w:rPr>
          <w:rFonts w:ascii="Times New Roman" w:hAnsi="Times New Roman"/>
          <w:b w:val="false"/>
          <w:i w:val="false"/>
          <w:color w:val="000000"/>
          <w:sz w:val="21"/>
        </w:rPr>
        <w:t>[Filed 1/20/87, Notice 12/3/86—published 2/11/87, effective 3/18/87]</w:t>
      </w:r>
    </w:p>
    <w:p>
      <w:pPr>
        <w:spacing w:before="0" w:after="0"/>
        <w:ind w:left="120"/>
        <w:jc w:val="center"/>
      </w:pPr>
      <w:r>
        <w:rPr>
          <w:rFonts w:ascii="Times New Roman" w:hAnsi="Times New Roman"/>
          <w:b w:val="false"/>
          <w:i w:val="false"/>
          <w:color w:val="000000"/>
          <w:sz w:val="21"/>
        </w:rPr>
        <w:t>[Filed 3/12/87, Notice 12/31/86—published 4/8/87, effective 5/13/87]</w:t>
      </w:r>
    </w:p>
    <w:p>
      <w:pPr>
        <w:spacing w:before="0" w:after="0"/>
        <w:ind w:left="120"/>
        <w:jc w:val="center"/>
      </w:pPr>
      <w:r>
        <w:rPr>
          <w:rFonts w:ascii="Times New Roman" w:hAnsi="Times New Roman"/>
          <w:b w:val="false"/>
          <w:i w:val="false"/>
          <w:color w:val="000000"/>
          <w:sz w:val="21"/>
        </w:rPr>
        <w:t>[Filed 5/12/88, Notice 3/9/88—published 6/1/88, effective 7/6/88]</w:t>
      </w:r>
      <w:r>
        <w:rPr>
          <w:rFonts w:ascii="Times New Roman" w:hAnsi="Times New Roman"/>
          <w:b w:val="false"/>
          <w:i w:val="false"/>
          <w:color w:val="000000"/>
          <w:sz w:val="10"/>
        </w:rPr>
        <w:t>1</w:t>
      </w:r>
    </w:p>
    <w:p>
      <w:pPr>
        <w:spacing w:before="0" w:after="0"/>
        <w:ind w:left="120"/>
        <w:jc w:val="center"/>
      </w:pPr>
      <w:r>
        <w:rPr>
          <w:rFonts w:ascii="Times New Roman" w:hAnsi="Times New Roman"/>
          <w:b w:val="false"/>
          <w:i w:val="false"/>
          <w:color w:val="000000"/>
          <w:sz w:val="21"/>
        </w:rPr>
        <w:t>[Filed 5/13/88, Notice 3/9/88—published 6/1/88, effective 7/6/88]</w:t>
      </w:r>
    </w:p>
    <w:p>
      <w:pPr>
        <w:spacing w:before="0" w:after="0"/>
        <w:ind w:left="120"/>
        <w:jc w:val="center"/>
      </w:pPr>
      <w:r>
        <w:rPr>
          <w:rFonts w:ascii="Times New Roman" w:hAnsi="Times New Roman"/>
          <w:b w:val="false"/>
          <w:i w:val="false"/>
          <w:color w:val="000000"/>
          <w:sz w:val="21"/>
        </w:rPr>
        <w:t>[Filed 5/13/88, Notice 4/6/88—published 6/1/88, effective 7/6/88]</w:t>
      </w:r>
    </w:p>
    <w:p>
      <w:pPr>
        <w:spacing w:before="0" w:after="0"/>
        <w:ind w:left="120"/>
        <w:jc w:val="center"/>
      </w:pPr>
      <w:r>
        <w:rPr>
          <w:rFonts w:ascii="Times New Roman" w:hAnsi="Times New Roman"/>
          <w:b w:val="false"/>
          <w:i w:val="false"/>
          <w:color w:val="000000"/>
          <w:sz w:val="21"/>
        </w:rPr>
        <w:t>[Filed 11/17/88, Notice 8/10/88—published 12/14/88, effective 1/18/89]</w:t>
      </w:r>
    </w:p>
    <w:p>
      <w:pPr>
        <w:spacing w:before="0" w:after="0"/>
        <w:ind w:left="120"/>
        <w:jc w:val="center"/>
      </w:pPr>
      <w:r>
        <w:rPr>
          <w:rFonts w:ascii="Times New Roman" w:hAnsi="Times New Roman"/>
          <w:b w:val="false"/>
          <w:i w:val="false"/>
          <w:color w:val="000000"/>
          <w:sz w:val="21"/>
        </w:rPr>
        <w:t>[Filed 11/9/89, Notice 8/9/89—published 11/29/89, effective 1/3/90]</w:t>
      </w:r>
    </w:p>
    <w:p>
      <w:pPr>
        <w:spacing w:before="0" w:after="0"/>
        <w:ind w:left="120"/>
        <w:jc w:val="center"/>
      </w:pPr>
      <w:r>
        <w:rPr>
          <w:rFonts w:ascii="Times New Roman" w:hAnsi="Times New Roman"/>
          <w:b w:val="false"/>
          <w:i w:val="false"/>
          <w:color w:val="000000"/>
          <w:sz w:val="21"/>
        </w:rPr>
        <w:t>[Filed 1/12/90, Notice 11/29/89—published 2/7/90, effective 3/14/90]</w:t>
      </w:r>
    </w:p>
    <w:p>
      <w:pPr>
        <w:spacing w:before="0" w:after="0"/>
        <w:ind w:left="120"/>
        <w:jc w:val="center"/>
      </w:pPr>
      <w:r>
        <w:rPr>
          <w:rFonts w:ascii="Times New Roman" w:hAnsi="Times New Roman"/>
          <w:b w:val="false"/>
          <w:i w:val="false"/>
          <w:color w:val="000000"/>
          <w:sz w:val="21"/>
        </w:rPr>
        <w:t>[Filed 3/15/90, Notice 12/27/89—published 4/4/90, effective 5/9/90]</w:t>
      </w:r>
    </w:p>
    <w:p>
      <w:pPr>
        <w:spacing w:before="0" w:after="0"/>
        <w:ind w:left="120"/>
        <w:jc w:val="center"/>
      </w:pPr>
      <w:r>
        <w:rPr>
          <w:rFonts w:ascii="Times New Roman" w:hAnsi="Times New Roman"/>
          <w:b w:val="false"/>
          <w:i w:val="false"/>
          <w:color w:val="000000"/>
          <w:sz w:val="21"/>
        </w:rPr>
        <w:t>[Filed emergency 7/13/90—published 8/8/90, effective 7/20/90]</w:t>
      </w:r>
    </w:p>
    <w:p>
      <w:pPr>
        <w:spacing w:before="0" w:after="0"/>
        <w:ind w:left="120"/>
        <w:jc w:val="center"/>
      </w:pPr>
      <w:r>
        <w:rPr>
          <w:rFonts w:ascii="Times New Roman" w:hAnsi="Times New Roman"/>
          <w:b w:val="false"/>
          <w:i w:val="false"/>
          <w:color w:val="000000"/>
          <w:sz w:val="21"/>
        </w:rPr>
        <w:t>[Filed 9/28/90, Notice 8/8/90—published 10/17/90, effective 11/21/90]</w:t>
      </w:r>
      <w:r>
        <w:rPr>
          <w:rFonts w:ascii="Times New Roman" w:hAnsi="Times New Roman"/>
          <w:b w:val="false"/>
          <w:i w:val="false"/>
          <w:color w:val="000000"/>
          <w:sz w:val="14"/>
        </w:rPr>
        <w:t>◊</w:t>
      </w:r>
    </w:p>
    <w:p>
      <w:pPr>
        <w:spacing w:before="0" w:after="0"/>
        <w:ind w:left="120"/>
        <w:jc w:val="center"/>
      </w:pPr>
      <w:r>
        <w:rPr>
          <w:rFonts w:ascii="Times New Roman" w:hAnsi="Times New Roman"/>
          <w:b w:val="false"/>
          <w:i w:val="false"/>
          <w:color w:val="000000"/>
          <w:sz w:val="21"/>
        </w:rPr>
        <w:t>[Filed 3/12/92, Notice 12/11/91—published 4/1/92, effective 5/6/92]</w:t>
      </w:r>
    </w:p>
    <w:p>
      <w:pPr>
        <w:spacing w:before="0" w:after="0"/>
        <w:ind w:left="120"/>
        <w:jc w:val="center"/>
      </w:pPr>
      <w:r>
        <w:rPr>
          <w:rFonts w:ascii="Times New Roman" w:hAnsi="Times New Roman"/>
          <w:b w:val="false"/>
          <w:i w:val="false"/>
          <w:color w:val="000000"/>
          <w:sz w:val="21"/>
        </w:rPr>
        <w:t>[Filed 12/2/93, Notices 10/13/93—published 12/22/93, effective 1/26/94]</w:t>
      </w:r>
      <w:r>
        <w:rPr>
          <w:rFonts w:ascii="Times New Roman" w:hAnsi="Times New Roman"/>
          <w:b w:val="false"/>
          <w:i w:val="false"/>
          <w:color w:val="000000"/>
          <w:sz w:val="14"/>
        </w:rPr>
        <w:t>◊</w:t>
      </w:r>
    </w:p>
    <w:p>
      <w:pPr>
        <w:spacing w:before="0" w:after="0"/>
        <w:ind w:left="120"/>
        <w:jc w:val="center"/>
      </w:pPr>
      <w:r>
        <w:rPr>
          <w:rFonts w:ascii="Times New Roman" w:hAnsi="Times New Roman"/>
          <w:b w:val="false"/>
          <w:i w:val="false"/>
          <w:color w:val="000000"/>
          <w:sz w:val="21"/>
        </w:rPr>
        <w:t>[Filed 3/11/94, Notice 2/2/94—published 3/30/94, effective 5/4/94]</w:t>
      </w:r>
    </w:p>
    <w:p>
      <w:pPr>
        <w:spacing w:before="0" w:after="0"/>
        <w:ind w:left="120"/>
        <w:jc w:val="center"/>
      </w:pPr>
      <w:r>
        <w:rPr>
          <w:rFonts w:ascii="Times New Roman" w:hAnsi="Times New Roman"/>
          <w:b w:val="false"/>
          <w:i w:val="false"/>
          <w:color w:val="000000"/>
          <w:sz w:val="21"/>
        </w:rPr>
        <w:t>[Filed 8/12/94, Notice 6/8/94—published 8/31/94, effective 10/5/94]</w:t>
      </w:r>
    </w:p>
    <w:p>
      <w:pPr>
        <w:spacing w:before="0" w:after="0"/>
        <w:ind w:left="120"/>
        <w:jc w:val="center"/>
      </w:pPr>
      <w:r>
        <w:rPr>
          <w:rFonts w:ascii="Times New Roman" w:hAnsi="Times New Roman"/>
          <w:b w:val="false"/>
          <w:i w:val="false"/>
          <w:color w:val="000000"/>
          <w:sz w:val="21"/>
        </w:rPr>
        <w:t>[Filed 5/16/95, Notice 3/15/95—published 6/7/95, effective 7/12/95]</w:t>
      </w:r>
    </w:p>
    <w:p>
      <w:pPr>
        <w:spacing w:before="0" w:after="0"/>
        <w:ind w:left="120"/>
        <w:jc w:val="center"/>
      </w:pPr>
      <w:r>
        <w:rPr>
          <w:rFonts w:ascii="Times New Roman" w:hAnsi="Times New Roman"/>
          <w:b w:val="false"/>
          <w:i w:val="false"/>
          <w:color w:val="000000"/>
          <w:sz w:val="21"/>
        </w:rPr>
        <w:t>[Filed 11/30/95, Notice 9/13/95—published 12/20/95, effective 1/24/96]</w:t>
      </w:r>
    </w:p>
    <w:p>
      <w:pPr>
        <w:spacing w:before="0" w:after="0"/>
        <w:ind w:left="120"/>
        <w:jc w:val="center"/>
      </w:pPr>
      <w:r>
        <w:rPr>
          <w:rFonts w:ascii="Times New Roman" w:hAnsi="Times New Roman"/>
          <w:b w:val="false"/>
          <w:i w:val="false"/>
          <w:color w:val="000000"/>
          <w:sz w:val="21"/>
        </w:rPr>
        <w:t>[Filed 1/25/96, Notice 12/20/95—published 2/14/96, effective 3/20/96]</w:t>
      </w:r>
    </w:p>
    <w:p>
      <w:pPr>
        <w:spacing w:before="0" w:after="0"/>
        <w:ind w:left="120"/>
        <w:jc w:val="center"/>
      </w:pPr>
      <w:r>
        <w:rPr>
          <w:rFonts w:ascii="Times New Roman" w:hAnsi="Times New Roman"/>
          <w:b w:val="false"/>
          <w:i w:val="false"/>
          <w:color w:val="000000"/>
          <w:sz w:val="21"/>
        </w:rPr>
        <w:t>[Filed 3/19/96, Notice 12/20/95—published 4/10/96, effective 5/15/96]</w:t>
      </w:r>
    </w:p>
    <w:p>
      <w:pPr>
        <w:spacing w:before="0" w:after="0"/>
        <w:ind w:left="120"/>
        <w:jc w:val="center"/>
      </w:pPr>
      <w:r>
        <w:rPr>
          <w:rFonts w:ascii="Times New Roman" w:hAnsi="Times New Roman"/>
          <w:b w:val="false"/>
          <w:i w:val="false"/>
          <w:color w:val="000000"/>
          <w:sz w:val="21"/>
        </w:rPr>
        <w:t>[Filed 7/11/97, Notice 4/9/97—published 7/30/97, effective 9/3/97]</w:t>
      </w:r>
    </w:p>
    <w:p>
      <w:pPr>
        <w:spacing w:before="0" w:after="0"/>
        <w:ind w:left="120"/>
        <w:jc w:val="center"/>
      </w:pPr>
      <w:r>
        <w:rPr>
          <w:rFonts w:ascii="Times New Roman" w:hAnsi="Times New Roman"/>
          <w:b w:val="false"/>
          <w:i w:val="false"/>
          <w:color w:val="000000"/>
          <w:sz w:val="21"/>
        </w:rPr>
        <w:t>[Filed 7/24/97, Notice 3/26/97—published 8/13/97, effective 9/17/97]</w:t>
      </w:r>
    </w:p>
    <w:p>
      <w:pPr>
        <w:spacing w:before="0" w:after="0"/>
        <w:ind w:left="120"/>
        <w:jc w:val="center"/>
      </w:pPr>
      <w:r>
        <w:rPr>
          <w:rFonts w:ascii="Times New Roman" w:hAnsi="Times New Roman"/>
          <w:b w:val="false"/>
          <w:i w:val="false"/>
          <w:color w:val="000000"/>
          <w:sz w:val="21"/>
        </w:rPr>
        <w:t>[Filed 3/31/98, Notice 11/5/97—published 4/22/98, effective 5/27/98]</w:t>
      </w:r>
    </w:p>
    <w:p>
      <w:pPr>
        <w:spacing w:before="0" w:after="0"/>
        <w:ind w:left="120"/>
        <w:jc w:val="center"/>
      </w:pPr>
      <w:r>
        <w:rPr>
          <w:rFonts w:ascii="Times New Roman" w:hAnsi="Times New Roman"/>
          <w:b w:val="false"/>
          <w:i w:val="false"/>
          <w:color w:val="000000"/>
          <w:sz w:val="21"/>
        </w:rPr>
        <w:t>[Filed 5/14/98, Notice 2/25/98—published 6/3/98, effective 7/8/98]</w:t>
      </w:r>
    </w:p>
    <w:p>
      <w:pPr>
        <w:spacing w:before="0" w:after="0"/>
        <w:ind w:left="120"/>
        <w:jc w:val="center"/>
      </w:pPr>
      <w:r>
        <w:rPr>
          <w:rFonts w:ascii="Times New Roman" w:hAnsi="Times New Roman"/>
          <w:b w:val="false"/>
          <w:i w:val="false"/>
          <w:color w:val="000000"/>
          <w:sz w:val="21"/>
        </w:rPr>
        <w:t>[Filed 11/12/98, Notice 9/23/98—published 12/2/98, effective 1/6/99]</w:t>
      </w:r>
    </w:p>
    <w:p>
      <w:pPr>
        <w:spacing w:before="0" w:after="0"/>
        <w:ind w:left="120"/>
        <w:jc w:val="center"/>
      </w:pPr>
      <w:r>
        <w:rPr>
          <w:rFonts w:ascii="Times New Roman" w:hAnsi="Times New Roman"/>
          <w:b w:val="false"/>
          <w:i w:val="false"/>
          <w:color w:val="000000"/>
          <w:sz w:val="21"/>
        </w:rPr>
        <w:t>[Filed 3/18/99, Notice 2/10/99—published 4/7/99, effective 5/12/99]</w:t>
      </w:r>
    </w:p>
    <w:p>
      <w:pPr>
        <w:spacing w:before="0" w:after="0"/>
        <w:ind w:left="120"/>
        <w:jc w:val="center"/>
      </w:pPr>
      <w:r>
        <w:rPr>
          <w:rFonts w:ascii="Times New Roman" w:hAnsi="Times New Roman"/>
          <w:b w:val="false"/>
          <w:i w:val="false"/>
          <w:color w:val="000000"/>
          <w:sz w:val="21"/>
        </w:rPr>
        <w:t>[Filed 5/14/99, Notice 3/10/99—published 6/2/99, effective 7/7/99]</w:t>
      </w:r>
    </w:p>
    <w:p>
      <w:pPr>
        <w:spacing w:before="0" w:after="0"/>
        <w:ind w:left="120"/>
        <w:jc w:val="center"/>
      </w:pPr>
      <w:r>
        <w:rPr>
          <w:rFonts w:ascii="Times New Roman" w:hAnsi="Times New Roman"/>
          <w:b w:val="false"/>
          <w:i w:val="false"/>
          <w:color w:val="000000"/>
          <w:sz w:val="21"/>
        </w:rPr>
        <w:t>[Filed 11/12/99, Notice 8/25/99—published 12/1/99, effective 1/5/00]</w:t>
      </w:r>
    </w:p>
    <w:p>
      <w:pPr>
        <w:spacing w:before="0" w:after="0"/>
        <w:ind w:left="120"/>
        <w:jc w:val="center"/>
      </w:pPr>
      <w:r>
        <w:rPr>
          <w:rFonts w:ascii="Times New Roman" w:hAnsi="Times New Roman"/>
          <w:b w:val="false"/>
          <w:i w:val="false"/>
          <w:color w:val="000000"/>
          <w:sz w:val="21"/>
        </w:rPr>
        <w:t>[Filed 3/30/00, Notice 2/9/00—published 4/19/00, effective 5/24/00]</w:t>
      </w:r>
      <w:r>
        <w:rPr>
          <w:rFonts w:ascii="Times New Roman" w:hAnsi="Times New Roman"/>
          <w:b w:val="false"/>
          <w:i w:val="false"/>
          <w:color w:val="000000"/>
          <w:sz w:val="14"/>
        </w:rPr>
        <w:t>◊</w:t>
      </w:r>
    </w:p>
    <w:p>
      <w:pPr>
        <w:spacing w:before="0" w:after="0"/>
        <w:ind w:left="120"/>
        <w:jc w:val="center"/>
      </w:pPr>
      <w:r>
        <w:rPr>
          <w:rFonts w:ascii="Times New Roman" w:hAnsi="Times New Roman"/>
          <w:b w:val="false"/>
          <w:i w:val="false"/>
          <w:color w:val="000000"/>
          <w:sz w:val="21"/>
        </w:rPr>
        <w:t>[Filed 9/15/00, Notice 8/9/00—published 10/4/00, effective 11/8/00]</w:t>
      </w:r>
    </w:p>
    <w:p>
      <w:pPr>
        <w:spacing w:before="0" w:after="0"/>
        <w:ind w:left="120"/>
        <w:jc w:val="center"/>
      </w:pPr>
      <w:r>
        <w:rPr>
          <w:rFonts w:ascii="Times New Roman" w:hAnsi="Times New Roman"/>
          <w:b w:val="false"/>
          <w:i w:val="false"/>
          <w:color w:val="000000"/>
          <w:sz w:val="21"/>
        </w:rPr>
        <w:t>[Filed 9/13/01, Notice 8/8/01—published 10/3/01, effective 11/7/01]</w:t>
      </w:r>
      <w:r>
        <w:rPr>
          <w:rFonts w:ascii="Times New Roman" w:hAnsi="Times New Roman"/>
          <w:b w:val="false"/>
          <w:i w:val="false"/>
          <w:color w:val="000000"/>
          <w:sz w:val="14"/>
        </w:rPr>
        <w:t>◊</w:t>
      </w:r>
    </w:p>
    <w:p>
      <w:pPr>
        <w:spacing w:before="0" w:after="0"/>
        <w:ind w:left="120"/>
        <w:jc w:val="center"/>
      </w:pPr>
      <w:r>
        <w:rPr>
          <w:rFonts w:ascii="Times New Roman" w:hAnsi="Times New Roman"/>
          <w:b w:val="false"/>
          <w:i w:val="false"/>
          <w:color w:val="000000"/>
          <w:sz w:val="21"/>
        </w:rPr>
        <w:t>[Filed 11/16/01, Notice 8/8/01—published 12/12/01, effective 1/16/02]</w:t>
      </w:r>
    </w:p>
    <w:p>
      <w:pPr>
        <w:spacing w:before="0" w:after="0"/>
        <w:ind w:left="120"/>
        <w:jc w:val="center"/>
      </w:pPr>
      <w:r>
        <w:rPr>
          <w:rFonts w:ascii="Times New Roman" w:hAnsi="Times New Roman"/>
          <w:b w:val="false"/>
          <w:i w:val="false"/>
          <w:color w:val="000000"/>
          <w:sz w:val="21"/>
        </w:rPr>
        <w:t>[Filed 3/29/02, Notice 2/6/02—published 4/17/02, effective 5/22/02]</w:t>
      </w:r>
    </w:p>
    <w:p>
      <w:pPr>
        <w:spacing w:before="0" w:after="0"/>
        <w:ind w:left="120"/>
        <w:jc w:val="center"/>
      </w:pPr>
      <w:r>
        <w:rPr>
          <w:rFonts w:ascii="Times New Roman" w:hAnsi="Times New Roman"/>
          <w:b w:val="false"/>
          <w:i w:val="false"/>
          <w:color w:val="000000"/>
          <w:sz w:val="21"/>
        </w:rPr>
        <w:t>[Filed 7/17/03, Notice 6/11/03—published 8/6/03, effective 9/10/03]</w:t>
      </w:r>
    </w:p>
    <w:p>
      <w:pPr>
        <w:spacing w:before="0" w:after="0"/>
        <w:ind w:left="120"/>
        <w:jc w:val="center"/>
      </w:pPr>
      <w:r>
        <w:rPr>
          <w:rFonts w:ascii="Times New Roman" w:hAnsi="Times New Roman"/>
          <w:b w:val="false"/>
          <w:i w:val="false"/>
          <w:color w:val="000000"/>
          <w:sz w:val="21"/>
        </w:rPr>
        <w:t>[Filed 9/11/03, Notice 8/6/03—published 10/1/03, effective 11/5/03]</w:t>
      </w:r>
    </w:p>
    <w:p>
      <w:pPr>
        <w:spacing w:before="0" w:after="0"/>
        <w:ind w:left="120"/>
        <w:jc w:val="center"/>
      </w:pPr>
      <w:r>
        <w:rPr>
          <w:rFonts w:ascii="Times New Roman" w:hAnsi="Times New Roman"/>
          <w:b w:val="false"/>
          <w:i w:val="false"/>
          <w:color w:val="000000"/>
          <w:sz w:val="21"/>
        </w:rPr>
        <w:t>[Filed 7/15/04, Notice 6/9/04—published 8/4/04, effective 9/8/04]</w:t>
      </w:r>
    </w:p>
    <w:p>
      <w:pPr>
        <w:spacing w:before="0" w:after="0"/>
        <w:ind w:left="120"/>
        <w:jc w:val="center"/>
      </w:pPr>
      <w:r>
        <w:rPr>
          <w:rFonts w:ascii="Times New Roman" w:hAnsi="Times New Roman"/>
          <w:b w:val="false"/>
          <w:i w:val="false"/>
          <w:color w:val="000000"/>
          <w:sz w:val="21"/>
        </w:rPr>
        <w:t>[Filed 1/12/05, Notice 12/8/04—published 2/2/05, effective 3/9/05]</w:t>
      </w:r>
    </w:p>
    <w:p>
      <w:pPr>
        <w:spacing w:before="0" w:after="0"/>
        <w:ind w:left="120"/>
        <w:jc w:val="center"/>
      </w:pPr>
      <w:r>
        <w:rPr>
          <w:rFonts w:ascii="Times New Roman" w:hAnsi="Times New Roman"/>
          <w:b w:val="false"/>
          <w:i w:val="false"/>
          <w:color w:val="000000"/>
          <w:sz w:val="21"/>
        </w:rPr>
        <w:t>[Filed 7/13/05, Notice 6/8/05—published 8/3/05, effective 9/7/05]</w:t>
      </w:r>
    </w:p>
    <w:p>
      <w:pPr>
        <w:spacing w:before="0" w:after="0"/>
        <w:ind w:left="120"/>
        <w:jc w:val="center"/>
      </w:pPr>
      <w:r>
        <w:rPr>
          <w:rFonts w:ascii="Times New Roman" w:hAnsi="Times New Roman"/>
          <w:b w:val="false"/>
          <w:i w:val="false"/>
          <w:color w:val="000000"/>
          <w:sz w:val="21"/>
        </w:rPr>
        <w:t>[Filed 1/11/06, Notice 10/12/05—published 2/1/06, effective 3/8/06]</w:t>
      </w:r>
    </w:p>
    <w:p>
      <w:pPr>
        <w:spacing w:before="0" w:after="0"/>
        <w:ind w:left="120"/>
        <w:jc w:val="center"/>
      </w:pPr>
      <w:r>
        <w:rPr>
          <w:rFonts w:ascii="Times New Roman" w:hAnsi="Times New Roman"/>
          <w:b w:val="false"/>
          <w:i w:val="false"/>
          <w:color w:val="000000"/>
          <w:sz w:val="21"/>
        </w:rPr>
        <w:t>[Filed 11/15/06, Notice 10/11/06—published 12/6/06, effective 1/10/07]</w:t>
      </w:r>
    </w:p>
    <w:p>
      <w:pPr>
        <w:spacing w:before="0" w:after="0"/>
        <w:ind w:left="120"/>
        <w:jc w:val="center"/>
      </w:pPr>
      <w:r>
        <w:rPr>
          <w:rFonts w:ascii="Times New Roman" w:hAnsi="Times New Roman"/>
          <w:b w:val="false"/>
          <w:i w:val="false"/>
          <w:color w:val="000000"/>
          <w:sz w:val="21"/>
        </w:rPr>
        <w:t>[Filed emergency 7/11/07—published 8/1/07, effective 7/11/07]</w:t>
      </w:r>
    </w:p>
    <w:p>
      <w:pPr>
        <w:spacing w:before="0" w:after="0"/>
        <w:ind w:left="120"/>
        <w:jc w:val="center"/>
      </w:pPr>
      <w:r>
        <w:rPr>
          <w:rFonts w:ascii="Times New Roman" w:hAnsi="Times New Roman"/>
          <w:b w:val="false"/>
          <w:i w:val="false"/>
          <w:color w:val="000000"/>
          <w:sz w:val="21"/>
        </w:rPr>
        <w:t>[Filed 9/12/07, Notice 8/1/07—published 10/10/07, effective 11/14/07]</w:t>
      </w:r>
      <w:r>
        <w:rPr>
          <w:rFonts w:ascii="Times New Roman" w:hAnsi="Times New Roman"/>
          <w:b w:val="false"/>
          <w:i w:val="false"/>
          <w:color w:val="000000"/>
          <w:sz w:val="14"/>
        </w:rPr>
        <w:t>◊</w:t>
      </w:r>
    </w:p>
    <w:p>
      <w:pPr>
        <w:spacing w:before="0" w:after="0"/>
        <w:ind w:left="120"/>
        <w:jc w:val="center"/>
      </w:pPr>
      <w:r>
        <w:rPr>
          <w:rFonts w:ascii="Times New Roman" w:hAnsi="Times New Roman"/>
          <w:b w:val="false"/>
          <w:i w:val="false"/>
          <w:color w:val="000000"/>
          <w:sz w:val="21"/>
        </w:rPr>
        <w:t>[Filed 3/17/08, Notice 1/30/08—published 4/9/08, effective 5/14/08]</w:t>
      </w:r>
    </w:p>
    <w:p>
      <w:pPr>
        <w:spacing w:before="0" w:after="0"/>
        <w:ind w:left="120"/>
        <w:jc w:val="center"/>
      </w:pPr>
      <w:r>
        <w:rPr>
          <w:rFonts w:ascii="Times New Roman" w:hAnsi="Times New Roman"/>
          <w:b w:val="false"/>
          <w:i w:val="false"/>
          <w:color w:val="000000"/>
          <w:sz w:val="21"/>
        </w:rPr>
        <w:t>[Filed ARC 9251B</w:t>
      </w:r>
      <w:r>
        <w:rPr>
          <w:rFonts w:ascii="Times New Roman" w:hAnsi="Times New Roman"/>
          <w:b w:val="false"/>
          <w:i w:val="false"/>
          <w:color w:val="000000"/>
          <w:sz w:val="21"/>
        </w:rPr>
        <w:t xml:space="preserve"> (Notice ARC 9119B, IAB 10/6/10)</w:t>
      </w:r>
      <w:r>
        <w:rPr>
          <w:rFonts w:ascii="Times New Roman" w:hAnsi="Times New Roman"/>
          <w:b w:val="false"/>
          <w:i w:val="false"/>
          <w:color w:val="000000"/>
          <w:sz w:val="21"/>
        </w:rPr>
        <w:t>, IAB 12/1/10, effective 1/5/11]</w:t>
      </w:r>
      <w:r>
        <w:br/>
      </w:r>
      <w:r>
        <w:rPr>
          <w:rFonts w:ascii="Times New Roman" w:hAnsi="Times New Roman"/>
          <w:b w:val="false"/>
          <w:i w:val="false"/>
          <w:color w:val="000000"/>
          <w:sz w:val="21"/>
        </w:rPr>
        <w:t>[Filed ARC 9252B</w:t>
      </w:r>
      <w:r>
        <w:rPr>
          <w:rFonts w:ascii="Times New Roman" w:hAnsi="Times New Roman"/>
          <w:b w:val="false"/>
          <w:i w:val="false"/>
          <w:color w:val="000000"/>
          <w:sz w:val="21"/>
        </w:rPr>
        <w:t xml:space="preserve"> (Notice ARC 9121B, IAB 10/6/10)</w:t>
      </w:r>
      <w:r>
        <w:rPr>
          <w:rFonts w:ascii="Times New Roman" w:hAnsi="Times New Roman"/>
          <w:b w:val="false"/>
          <w:i w:val="false"/>
          <w:color w:val="000000"/>
          <w:sz w:val="21"/>
        </w:rPr>
        <w:t>, IAB 12/1/10, effective 1/5/11]</w:t>
      </w:r>
      <w:r>
        <w:br/>
      </w:r>
      <w:r>
        <w:rPr>
          <w:rFonts w:ascii="Times New Roman" w:hAnsi="Times New Roman"/>
          <w:b w:val="false"/>
          <w:i w:val="false"/>
          <w:color w:val="000000"/>
          <w:sz w:val="21"/>
        </w:rPr>
        <w:t>[Filed ARC 9253B</w:t>
      </w:r>
      <w:r>
        <w:rPr>
          <w:rFonts w:ascii="Times New Roman" w:hAnsi="Times New Roman"/>
          <w:b w:val="false"/>
          <w:i w:val="false"/>
          <w:color w:val="000000"/>
          <w:sz w:val="21"/>
        </w:rPr>
        <w:t xml:space="preserve"> (Notice ARC 9120B, IAB 10/6/10)</w:t>
      </w:r>
      <w:r>
        <w:rPr>
          <w:rFonts w:ascii="Times New Roman" w:hAnsi="Times New Roman"/>
          <w:b w:val="false"/>
          <w:i w:val="false"/>
          <w:color w:val="000000"/>
          <w:sz w:val="21"/>
        </w:rPr>
        <w:t>, IAB 12/1/10, effective 1/5/11]</w:t>
      </w:r>
    </w:p>
    <w:p>
      <w:pPr>
        <w:spacing w:before="0" w:after="0"/>
        <w:ind w:left="120"/>
        <w:jc w:val="center"/>
      </w:pPr>
      <w:r>
        <w:rPr>
          <w:rFonts w:ascii="Times New Roman" w:hAnsi="Times New Roman"/>
          <w:b w:val="false"/>
          <w:i w:val="false"/>
          <w:color w:val="000000"/>
          <w:sz w:val="21"/>
        </w:rPr>
        <w:t>[Filed ARC 0135C</w:t>
      </w:r>
      <w:r>
        <w:rPr>
          <w:rFonts w:ascii="Times New Roman" w:hAnsi="Times New Roman"/>
          <w:b w:val="false"/>
          <w:i w:val="false"/>
          <w:color w:val="000000"/>
          <w:sz w:val="21"/>
        </w:rPr>
        <w:t xml:space="preserve"> (Notice ARC 0071C, IAB 4/4/12)</w:t>
      </w:r>
      <w:r>
        <w:rPr>
          <w:rFonts w:ascii="Times New Roman" w:hAnsi="Times New Roman"/>
          <w:b w:val="false"/>
          <w:i w:val="false"/>
          <w:color w:val="000000"/>
          <w:sz w:val="21"/>
        </w:rPr>
        <w:t>, IAB 5/30/12, effective 7/4/12]</w:t>
      </w:r>
    </w:p>
    <w:p>
      <w:pPr>
        <w:spacing w:before="0" w:after="0"/>
        <w:ind w:left="120"/>
        <w:jc w:val="center"/>
      </w:pPr>
      <w:r>
        <w:rPr>
          <w:rFonts w:ascii="Times New Roman" w:hAnsi="Times New Roman"/>
          <w:b w:val="false"/>
          <w:i w:val="false"/>
          <w:color w:val="000000"/>
          <w:sz w:val="21"/>
        </w:rPr>
        <w:t>[Filed ARC 0484C</w:t>
      </w:r>
      <w:r>
        <w:rPr>
          <w:rFonts w:ascii="Times New Roman" w:hAnsi="Times New Roman"/>
          <w:b w:val="false"/>
          <w:i w:val="false"/>
          <w:color w:val="000000"/>
          <w:sz w:val="21"/>
        </w:rPr>
        <w:t xml:space="preserve"> (Notice ARC 0353C, IAB 10/3/12)</w:t>
      </w:r>
      <w:r>
        <w:rPr>
          <w:rFonts w:ascii="Times New Roman" w:hAnsi="Times New Roman"/>
          <w:b w:val="false"/>
          <w:i w:val="false"/>
          <w:color w:val="000000"/>
          <w:sz w:val="21"/>
        </w:rPr>
        <w:t>, IAB 12/12/12, effective 1/16/13]</w:t>
      </w:r>
      <w:r>
        <w:rPr>
          <w:rFonts w:ascii="Times New Roman" w:hAnsi="Times New Roman"/>
          <w:b w:val="false"/>
          <w:i w:val="false"/>
          <w:color w:val="000000"/>
          <w:sz w:val="10"/>
        </w:rPr>
        <w:t>2</w:t>
      </w:r>
    </w:p>
    <w:p>
      <w:pPr>
        <w:spacing w:before="0" w:after="0"/>
        <w:ind w:left="120"/>
        <w:jc w:val="center"/>
      </w:pPr>
      <w:r>
        <w:rPr>
          <w:rFonts w:ascii="Times New Roman" w:hAnsi="Times New Roman"/>
          <w:b w:val="false"/>
          <w:i w:val="false"/>
          <w:color w:val="000000"/>
          <w:sz w:val="21"/>
        </w:rPr>
        <w:t>[Filed ARC 1305C</w:t>
      </w:r>
      <w:r>
        <w:rPr>
          <w:rFonts w:ascii="Times New Roman" w:hAnsi="Times New Roman"/>
          <w:b w:val="false"/>
          <w:i w:val="false"/>
          <w:color w:val="000000"/>
          <w:sz w:val="21"/>
        </w:rPr>
        <w:t xml:space="preserve"> (Notice ARC 1230C, IAB 12/11/13)</w:t>
      </w:r>
      <w:r>
        <w:rPr>
          <w:rFonts w:ascii="Times New Roman" w:hAnsi="Times New Roman"/>
          <w:b w:val="false"/>
          <w:i w:val="false"/>
          <w:color w:val="000000"/>
          <w:sz w:val="21"/>
        </w:rPr>
        <w:t>, IAB 2/5/14, effective 3/12/14]</w:t>
      </w:r>
      <w:r>
        <w:br/>
      </w:r>
      <w:r>
        <w:rPr>
          <w:rFonts w:ascii="Times New Roman" w:hAnsi="Times New Roman"/>
          <w:b w:val="false"/>
          <w:i w:val="false"/>
          <w:color w:val="000000"/>
          <w:sz w:val="21"/>
        </w:rPr>
        <w:t>[Filed ARC 1304C</w:t>
      </w:r>
      <w:r>
        <w:rPr>
          <w:rFonts w:ascii="Times New Roman" w:hAnsi="Times New Roman"/>
          <w:b w:val="false"/>
          <w:i w:val="false"/>
          <w:color w:val="000000"/>
          <w:sz w:val="21"/>
        </w:rPr>
        <w:t xml:space="preserve"> (Notice ARC 1242C, IAB 12/11/13)</w:t>
      </w:r>
      <w:r>
        <w:rPr>
          <w:rFonts w:ascii="Times New Roman" w:hAnsi="Times New Roman"/>
          <w:b w:val="false"/>
          <w:i w:val="false"/>
          <w:color w:val="000000"/>
          <w:sz w:val="21"/>
        </w:rPr>
        <w:t>, IAB 2/5/14, effective 3/12/14]</w:t>
      </w:r>
    </w:p>
    <w:p>
      <w:pPr>
        <w:spacing w:before="0" w:after="0"/>
        <w:ind w:left="120"/>
        <w:jc w:val="center"/>
      </w:pPr>
      <w:r>
        <w:rPr>
          <w:rFonts w:ascii="Times New Roman" w:hAnsi="Times New Roman"/>
          <w:b w:val="false"/>
          <w:i w:val="false"/>
          <w:color w:val="000000"/>
          <w:sz w:val="21"/>
        </w:rPr>
        <w:t>[Filed ARC 1751C</w:t>
      </w:r>
      <w:r>
        <w:rPr>
          <w:rFonts w:ascii="Times New Roman" w:hAnsi="Times New Roman"/>
          <w:b w:val="false"/>
          <w:i w:val="false"/>
          <w:color w:val="000000"/>
          <w:sz w:val="21"/>
        </w:rPr>
        <w:t xml:space="preserve"> (Notice ARC 1650C, IAB 10/1/14)</w:t>
      </w:r>
      <w:r>
        <w:rPr>
          <w:rFonts w:ascii="Times New Roman" w:hAnsi="Times New Roman"/>
          <w:b w:val="false"/>
          <w:i w:val="false"/>
          <w:color w:val="000000"/>
          <w:sz w:val="21"/>
        </w:rPr>
        <w:t>, IAB 12/10/14, effective 1/14/15]</w:t>
      </w:r>
    </w:p>
    <w:p>
      <w:pPr>
        <w:spacing w:before="0" w:after="0"/>
        <w:ind w:left="120"/>
        <w:jc w:val="center"/>
      </w:pPr>
      <w:r>
        <w:rPr>
          <w:rFonts w:ascii="Times New Roman" w:hAnsi="Times New Roman"/>
          <w:b w:val="false"/>
          <w:i w:val="false"/>
          <w:color w:val="000000"/>
          <w:sz w:val="21"/>
        </w:rPr>
        <w:t>[Filed ARC 2157C</w:t>
      </w:r>
      <w:r>
        <w:rPr>
          <w:rFonts w:ascii="Times New Roman" w:hAnsi="Times New Roman"/>
          <w:b w:val="false"/>
          <w:i w:val="false"/>
          <w:color w:val="000000"/>
          <w:sz w:val="21"/>
        </w:rPr>
        <w:t xml:space="preserve"> (Notice ARC 2080C, IAB 8/5/15)</w:t>
      </w:r>
      <w:r>
        <w:rPr>
          <w:rFonts w:ascii="Times New Roman" w:hAnsi="Times New Roman"/>
          <w:b w:val="false"/>
          <w:i w:val="false"/>
          <w:color w:val="000000"/>
          <w:sz w:val="21"/>
        </w:rPr>
        <w:t>, IAB 9/30/15, effective 11/4/15]</w:t>
      </w:r>
    </w:p>
    <w:p>
      <w:pPr>
        <w:spacing w:before="0" w:after="0"/>
        <w:ind w:left="120"/>
        <w:jc w:val="center"/>
      </w:pPr>
      <w:r>
        <w:rPr>
          <w:rFonts w:ascii="Times New Roman" w:hAnsi="Times New Roman"/>
          <w:b w:val="false"/>
          <w:i w:val="false"/>
          <w:color w:val="000000"/>
          <w:sz w:val="21"/>
        </w:rPr>
        <w:t>[Filed ARC 2472C</w:t>
      </w:r>
      <w:r>
        <w:rPr>
          <w:rFonts w:ascii="Times New Roman" w:hAnsi="Times New Roman"/>
          <w:b w:val="false"/>
          <w:i w:val="false"/>
          <w:color w:val="000000"/>
          <w:sz w:val="21"/>
        </w:rPr>
        <w:t xml:space="preserve"> (Notice ARC 2302C, IAB 12/9/15)</w:t>
      </w:r>
      <w:r>
        <w:rPr>
          <w:rFonts w:ascii="Times New Roman" w:hAnsi="Times New Roman"/>
          <w:b w:val="false"/>
          <w:i w:val="false"/>
          <w:color w:val="000000"/>
          <w:sz w:val="21"/>
        </w:rPr>
        <w:t>, IAB 3/30/16, effective 5/4/16]</w:t>
      </w:r>
    </w:p>
    <w:p>
      <w:pPr>
        <w:spacing w:before="0" w:after="0"/>
        <w:ind w:left="120"/>
        <w:jc w:val="center"/>
      </w:pPr>
      <w:r>
        <w:rPr>
          <w:rFonts w:ascii="Times New Roman" w:hAnsi="Times New Roman"/>
          <w:b w:val="false"/>
          <w:i w:val="false"/>
          <w:color w:val="000000"/>
          <w:sz w:val="21"/>
        </w:rPr>
        <w:t>[Filed ARC 4070C</w:t>
      </w:r>
      <w:r>
        <w:rPr>
          <w:rFonts w:ascii="Times New Roman" w:hAnsi="Times New Roman"/>
          <w:b w:val="false"/>
          <w:i w:val="false"/>
          <w:color w:val="000000"/>
          <w:sz w:val="21"/>
        </w:rPr>
        <w:t xml:space="preserve"> (Notice ARC 3918C, IAB 8/1/18)</w:t>
      </w:r>
      <w:r>
        <w:rPr>
          <w:rFonts w:ascii="Times New Roman" w:hAnsi="Times New Roman"/>
          <w:b w:val="false"/>
          <w:i w:val="false"/>
          <w:color w:val="000000"/>
          <w:sz w:val="21"/>
        </w:rPr>
        <w:t>, IAB 10/10/18, effective 11/14/18]</w:t>
      </w:r>
    </w:p>
    <w:p>
      <w:pPr>
        <w:spacing w:before="0" w:after="0"/>
        <w:ind w:left="120"/>
        <w:jc w:val="center"/>
      </w:pPr>
      <w:r>
        <w:rPr>
          <w:rFonts w:ascii="Times New Roman" w:hAnsi="Times New Roman"/>
          <w:b w:val="false"/>
          <w:i w:val="false"/>
          <w:color w:val="000000"/>
          <w:sz w:val="21"/>
        </w:rPr>
        <w:t>[Filed ARC 5421C</w:t>
      </w:r>
      <w:r>
        <w:rPr>
          <w:rFonts w:ascii="Times New Roman" w:hAnsi="Times New Roman"/>
          <w:b w:val="false"/>
          <w:i w:val="false"/>
          <w:color w:val="000000"/>
          <w:sz w:val="21"/>
        </w:rPr>
        <w:t xml:space="preserve"> (Notice ARC 5335C, IAB 12/16/20)</w:t>
      </w:r>
      <w:r>
        <w:rPr>
          <w:rFonts w:ascii="Times New Roman" w:hAnsi="Times New Roman"/>
          <w:b w:val="false"/>
          <w:i w:val="false"/>
          <w:color w:val="000000"/>
          <w:sz w:val="21"/>
        </w:rPr>
        <w:t>, IAB 2/10/21, effective 3/17/21]</w:t>
      </w:r>
    </w:p>
    <w:p>
      <w:pPr>
        <w:spacing w:before="0" w:after="0"/>
        <w:ind w:left="120"/>
        <w:jc w:val="center"/>
      </w:pPr>
      <w:r>
        <w:rPr>
          <w:rFonts w:ascii="Times New Roman" w:hAnsi="Times New Roman"/>
          <w:b w:val="false"/>
          <w:i w:val="false"/>
          <w:color w:val="000000"/>
          <w:sz w:val="21"/>
        </w:rPr>
        <w:t>[Filed ARC 5719C</w:t>
      </w:r>
      <w:r>
        <w:rPr>
          <w:rFonts w:ascii="Times New Roman" w:hAnsi="Times New Roman"/>
          <w:b w:val="false"/>
          <w:i w:val="false"/>
          <w:color w:val="000000"/>
          <w:sz w:val="21"/>
        </w:rPr>
        <w:t xml:space="preserve"> (Notice ARC 5560C, IAB 4/21/21)</w:t>
      </w:r>
      <w:r>
        <w:rPr>
          <w:rFonts w:ascii="Times New Roman" w:hAnsi="Times New Roman"/>
          <w:b w:val="false"/>
          <w:i w:val="false"/>
          <w:color w:val="000000"/>
          <w:sz w:val="21"/>
        </w:rPr>
        <w:t>, IAB 6/16/21, effective 7/21/21]</w:t>
      </w:r>
    </w:p>
    <w:p>
      <w:pPr>
        <w:spacing w:before="0" w:after="0"/>
        <w:ind w:left="120"/>
        <w:jc w:val="center"/>
      </w:pPr>
      <w:r>
        <w:rPr>
          <w:rFonts w:ascii="Times New Roman" w:hAnsi="Times New Roman"/>
          <w:b w:val="false"/>
          <w:i w:val="false"/>
          <w:color w:val="000000"/>
          <w:sz w:val="21"/>
        </w:rPr>
        <w:t>[Filed Emergency ARC 7573C, IAB 2/7/24, effective 1/18/24]</w:t>
      </w:r>
    </w:p>
    <w:p>
      <w:pPr>
        <w:spacing w:before="0" w:after="0"/>
        <w:ind w:left="120"/>
        <w:jc w:val="center"/>
      </w:pPr>
      <w:r>
        <w:rPr>
          <w:rFonts w:ascii="Times New Roman" w:hAnsi="Times New Roman"/>
          <w:b w:val="false"/>
          <w:i w:val="false"/>
          <w:color w:val="000000"/>
          <w:sz w:val="21"/>
        </w:rPr>
        <w:t>[Filed ARC 7887C</w:t>
      </w:r>
      <w:r>
        <w:rPr>
          <w:rFonts w:ascii="Times New Roman" w:hAnsi="Times New Roman"/>
          <w:b w:val="false"/>
          <w:i w:val="false"/>
          <w:color w:val="000000"/>
          <w:sz w:val="21"/>
        </w:rPr>
        <w:t xml:space="preserve"> (Filed Emergency ARC 7573C, IAB 2/7/24; </w:t>
      </w:r>
      <w:r>
        <w:rPr>
          <w:rFonts w:ascii="Times New Roman" w:hAnsi="Times New Roman"/>
          <w:b w:val="false"/>
          <w:i w:val="false"/>
          <w:color w:val="000000"/>
          <w:sz w:val="21"/>
        </w:rPr>
        <w:t>Notice ARC 7572C, IAB 2/7/24)</w:t>
      </w:r>
      <w:r>
        <w:rPr>
          <w:rFonts w:ascii="Times New Roman" w:hAnsi="Times New Roman"/>
          <w:b w:val="false"/>
          <w:i w:val="false"/>
          <w:color w:val="000000"/>
          <w:sz w:val="21"/>
        </w:rPr>
        <w:t>, IAB 5/1/24, effective 6/5/24]</w:t>
      </w:r>
    </w:p>
    <w:p>
      <w:pPr>
        <w:spacing w:before="0" w:after="0"/>
        <w:ind w:left="120"/>
        <w:jc w:val="center"/>
      </w:pPr>
      <w:r>
        <w:rPr>
          <w:rFonts w:ascii="Times New Roman" w:hAnsi="Times New Roman"/>
          <w:b w:val="false"/>
          <w:i w:val="false"/>
          <w:color w:val="000000"/>
          <w:sz w:val="21"/>
        </w:rPr>
        <w:t>[Editorial change: IAC Supplement 8/5/26]</w:t>
      </w:r>
    </w:p>
    <w:p>
      <w:pPr>
        <w:pBdr>
          <w:bottom w:space="2"/>
        </w:pBdr>
        <w:spacing w:before="0" w:after="0"/>
        <w:ind w:left="120"/>
        <w:jc w:val="both"/>
      </w:pPr>
      <w:r>
        <w:rPr>
          <w:rFonts w:ascii="Times New Roman" w:hAnsi="Times New Roman"/>
          <w:b w:val="false"/>
          <w:i w:val="false"/>
          <w:color w:val="000000"/>
          <w:sz w:val="22"/>
        </w:rPr>
        <w:t>Two or more ARCs</w:t>
      </w:r>
    </w:p>
    <w:p>
      <w:pPr>
        <w:pBdr>
          <w:bottom w:space="2"/>
        </w:pBdr>
        <w:spacing w:before="0" w:after="0"/>
        <w:ind w:left="120"/>
        <w:jc w:val="both"/>
      </w:pPr>
      <w:r>
        <w:rPr>
          <w:rFonts w:ascii="Times New Roman" w:hAnsi="Times New Roman"/>
          <w:b w:val="false"/>
          <w:i w:val="false"/>
          <w:color w:val="000000"/>
          <w:sz w:val="22"/>
        </w:rPr>
        <w:t>Hospital Protocol for Donor Requests as it appeared in IAC 641—Chapter 180 prior to 4/4/90.</w:t>
      </w:r>
    </w:p>
    <w:p>
      <w:pPr>
        <w:pBdr>
          <w:bottom w:space="2"/>
        </w:pBdr>
        <w:spacing w:before="0" w:after="0"/>
        <w:ind w:left="120"/>
        <w:jc w:val="both"/>
      </w:pPr>
      <w:r>
        <w:rPr>
          <w:rFonts w:ascii="Times New Roman" w:hAnsi="Times New Roman"/>
          <w:b w:val="false"/>
          <w:i w:val="false"/>
          <w:color w:val="000000"/>
          <w:sz w:val="22"/>
        </w:rPr>
        <w:t>January 16, 2013, effective date of 51.24(3) [ARC 0484C] delayed 70 days by the Administrative Rules Review Committee at its meeting held January 8, 2013.</w:t>
      </w:r>
    </w:p>
    <w:sectPr>
      <w:footerReference r:id="rId45"/>
      <w:pgSz w:w="11907" w:h="16839" w:code="9"/>
      <w:pgMar w:top="1440" w:right="1440" w:bottom="1440" w:left="1440"/>
    </w:sectPr>
  </w:body>
</w:document>
</file>

<file path=word/footer.xml><?xml version="1.0" encoding="utf-8"?>
<w:ftr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ac/rule/481.51.27.pdf" Type="http://schemas.openxmlformats.org/officeDocument/2006/relationships/hyperlink" Id="rId5"/>
    <Relationship TargetMode="External" Target="https://www.legis.iowa.gov/docs/ico/chapter/135B.1.pdf" Type="http://schemas.openxmlformats.org/officeDocument/2006/relationships/hyperlink" Id="rId6"/>
    <Relationship TargetMode="External" Target="https://www.legis.iowa.gov/docs/ico/chapter/135B.7.pdf" Type="http://schemas.openxmlformats.org/officeDocument/2006/relationships/hyperlink" Id="rId7"/>
    <Relationship TargetMode="External" Target="https://www.legis.iowa.gov/docs/ico/chapter/232.68.pdf" Type="http://schemas.openxmlformats.org/officeDocument/2006/relationships/hyperlink" Id="rId8"/>
    <Relationship TargetMode="External" Target="https://www.legis.iowa.gov/docs/ico/chapter/235E.1.pdf" Type="http://schemas.openxmlformats.org/officeDocument/2006/relationships/hyperlink" Id="rId9"/>
    <Relationship TargetMode="External" Target="https://www.legis.iowa.gov/docs/iac/chapter/481.52.pdf" Type="http://schemas.openxmlformats.org/officeDocument/2006/relationships/hyperlink" Id="rId10"/>
    <Relationship TargetMode="External" Target="https://www.legis.iowa.gov/docs/ico/chapter/236.2.pdf" Type="http://schemas.openxmlformats.org/officeDocument/2006/relationships/hyperlink" Id="rId11"/>
    <Relationship TargetMode="External" Target="https://www.legis.iowa.gov/docs/ico/chapter/235F.1.pdf" Type="http://schemas.openxmlformats.org/officeDocument/2006/relationships/hyperlink" Id="rId12"/>
    <Relationship TargetMode="External" Target="https://www.legis.iowa.gov/docs/ico/chapter/236.2.pdf" Type="http://schemas.openxmlformats.org/officeDocument/2006/relationships/hyperlink" Id="rId13"/>
    <Relationship TargetMode="External" Target="https://www.legis.iowa.gov/docs/iac/rule/481.51.7.pdf" Type="http://schemas.openxmlformats.org/officeDocument/2006/relationships/hyperlink" Id="rId14"/>
    <Relationship TargetMode="External" Target="https://www.legis.iowa.gov/docs/iac/rule/481.51.7.pdf" Type="http://schemas.openxmlformats.org/officeDocument/2006/relationships/hyperlink" Id="rId15"/>
    <Relationship TargetMode="External" Target="https://www.legis.iowa.gov/docs/ico/chapter/142C.pdf" Type="http://schemas.openxmlformats.org/officeDocument/2006/relationships/hyperlink" Id="rId16"/>
    <Relationship TargetMode="External" Target="https://www.legis.iowa.gov/docs/iac/rule/481.51.9.pdf" Type="http://schemas.openxmlformats.org/officeDocument/2006/relationships/hyperlink" Id="rId17"/>
    <Relationship TargetMode="External" Target="https://www.legis.iowa.gov/docs/ico/chapter/152E.1.pdf" Type="http://schemas.openxmlformats.org/officeDocument/2006/relationships/hyperlink" Id="rId18"/>
    <Relationship TargetMode="External" Target="https://www.legis.iowa.gov/docs/ico/chapter/152E.1.pdf" Type="http://schemas.openxmlformats.org/officeDocument/2006/relationships/hyperlink" Id="rId19"/>
    <Relationship TargetMode="External" Target="https://www.legis.iowa.gov/docs/ico/chapter/614.pdf" Type="http://schemas.openxmlformats.org/officeDocument/2006/relationships/hyperlink" Id="rId20"/>
    <Relationship TargetMode="External" Target="https://www.legis.iowa.gov/docs/ico/chapter/144.pdf" Type="http://schemas.openxmlformats.org/officeDocument/2006/relationships/hyperlink" Id="rId21"/>
    <Relationship TargetMode="External" Target="https://www.legis.iowa.gov/docs/ico/chapter/144.pdf" Type="http://schemas.openxmlformats.org/officeDocument/2006/relationships/hyperlink" Id="rId22"/>
    <Relationship TargetMode="External" Target="https://www.legis.iowa.gov/docs/iac/rule/481.50.10.pdf" Type="http://schemas.openxmlformats.org/officeDocument/2006/relationships/hyperlink" Id="rId23"/>
    <Relationship TargetMode="External" Target="https://www.legis.iowa.gov/docs/iac/chapter/641.38.pdf" Type="http://schemas.openxmlformats.org/officeDocument/2006/relationships/hyperlink" Id="rId24"/>
    <Relationship TargetMode="External" Target="https://www.legis.iowa.gov/docs/ico/chapter/137F.2.pdf" Type="http://schemas.openxmlformats.org/officeDocument/2006/relationships/hyperlink" Id="rId25"/>
    <Relationship TargetMode="External" Target="https://www.legis.iowa.gov/docs/iac/chapter/481.59.pdf" Type="http://schemas.openxmlformats.org/officeDocument/2006/relationships/hyperlink" Id="rId26"/>
    <Relationship TargetMode="External" Target="https://www.legis.iowa.gov/docs/iac/rule/481.51.5.pdf" Type="http://schemas.openxmlformats.org/officeDocument/2006/relationships/hyperlink" Id="rId27"/>
    <Relationship TargetMode="External" Target="https://www.legis.iowa.gov/docs/ico/chapter/154B.pdf" Type="http://schemas.openxmlformats.org/officeDocument/2006/relationships/hyperlink" Id="rId28"/>
    <Relationship TargetMode="External" Target="https://www.legis.iowa.gov/docs/ico/chapter/135C.pdf" Type="http://schemas.openxmlformats.org/officeDocument/2006/relationships/hyperlink" Id="rId29"/>
    <Relationship TargetMode="External" Target="https://www.legis.iowa.gov/docs/ico/chapter/135B.pdf" Type="http://schemas.openxmlformats.org/officeDocument/2006/relationships/hyperlink" Id="rId30"/>
    <Relationship TargetMode="External" Target="https://www.legis.iowa.gov/docs/ico/chapter/135C.pdf" Type="http://schemas.openxmlformats.org/officeDocument/2006/relationships/hyperlink" Id="rId31"/>
    <Relationship TargetMode="External" Target="https://www.legis.iowa.gov/docs/ico/chapter/135C.pdf" Type="http://schemas.openxmlformats.org/officeDocument/2006/relationships/hyperlink" Id="rId32"/>
    <Relationship TargetMode="External" Target="https://www.legis.iowa.gov/docs/iac/rule/481.50.9.pdf" Type="http://schemas.openxmlformats.org/officeDocument/2006/relationships/hyperlink" Id="rId33"/>
    <Relationship TargetMode="External" Target="https://www.legis.iowa.gov/docs/iac/chapter/661.205.pdf" Type="http://schemas.openxmlformats.org/officeDocument/2006/relationships/hyperlink" Id="rId34"/>
    <Relationship TargetMode="External" Target="https://www.legis.iowa.gov/docs/ico/chapter/103A.7.pdf" Type="http://schemas.openxmlformats.org/officeDocument/2006/relationships/hyperlink" Id="rId35"/>
    <Relationship TargetMode="External" Target="https://www.legis.iowa.gov/docs/iac/chapter/661.205.pdf" Type="http://schemas.openxmlformats.org/officeDocument/2006/relationships/hyperlink" Id="rId36"/>
    <Relationship TargetMode="External" Target="https://www.legis.iowa.gov/docs/iac/chapter/661.205.pdf" Type="http://schemas.openxmlformats.org/officeDocument/2006/relationships/hyperlink" Id="rId37"/>
    <Relationship TargetMode="External" Target="https://www.legis.iowa.gov/docs/iac/rule/661.300.4.pdf" Type="http://schemas.openxmlformats.org/officeDocument/2006/relationships/hyperlink" Id="rId38"/>
    <Relationship TargetMode="External" Target="https://www.legis.iowa.gov/docs/iac/rule/481.51.26.pdf" Type="http://schemas.openxmlformats.org/officeDocument/2006/relationships/hyperlink" Id="rId39"/>
    <Relationship TargetMode="External" Target="https://www.legis.iowa.gov/docs/iac/rule/481.51.26.pdf" Type="http://schemas.openxmlformats.org/officeDocument/2006/relationships/hyperlink" Id="rId40"/>
    <Relationship TargetMode="External" Target="https://www.legis.iowa.gov/docs/iac/chapter/7.2504.pdf" Type="http://schemas.openxmlformats.org/officeDocument/2006/relationships/hyperlink" Id="rId41"/>
    <Relationship TargetMode="External" Target="https://www.legis.iowa.gov/docs/ico/chapter/135B.3A.pdf" Type="http://schemas.openxmlformats.org/officeDocument/2006/relationships/hyperlink" Id="rId42"/>
    <Relationship TargetMode="External" Target="https://www.legis.iowa.gov/docs/ico/chapter/135B.7.pdf" Type="http://schemas.openxmlformats.org/officeDocument/2006/relationships/hyperlink" Id="rId43"/>
    <Relationship TargetMode="External" Target="https://www.legis.iowa.gov/docs/ico/chapter/135B.7A.pdf" Type="http://schemas.openxmlformats.org/officeDocument/2006/relationships/hyperlink" Id="rId44"/>
    <Relationship Target="footer.xml" Type="http://schemas.openxmlformats.org/officeDocument/2006/relationships/footer" Id="rId45"/>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