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507</w:t>
      </w:r>
    </w:p>
    <w:p>
      <w:pPr>
        <w:spacing w:before="0" w:after="0"/>
        <w:ind w:left="120"/>
        <w:jc w:val="center"/>
      </w:pPr>
      <w:r>
        <w:rPr>
          <w:rFonts w:ascii="Times New Roman" w:hAnsi="Times New Roman"/>
          <w:b w:val="false"/>
          <w:i w:val="false"/>
          <w:color w:val="000000"/>
          <w:sz w:val="21"/>
        </w:rPr>
        <w:t>PROFESSIONAL LICENSING DIVISION FEES</w:t>
      </w:r>
    </w:p>
    <w:p>
      <w:pPr>
        <w:spacing w:before="0" w:after="0"/>
        <w:ind w:left="120"/>
        <w:jc w:val="center"/>
      </w:pPr>
      <w:r>
        <w:rPr>
          <w:rFonts w:ascii="Times New Roman" w:hAnsi="Times New Roman"/>
          <w:b w:val="false"/>
          <w:i w:val="false"/>
          <w:color w:val="000000"/>
          <w:sz w:val="14"/>
        </w:rPr>
        <w:t>[Prior to 9/18/24, see Professional Licensure Division[645]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481—507.1</w:t>
      </w:r>
      <w:r>
        <w:rPr>
          <w:rFonts w:ascii="Times New Roman" w:hAnsi="Times New Roman"/>
          <w:b/>
          <w:i w:val="false"/>
          <w:color w:val="000000"/>
          <w:sz w:val="22"/>
        </w:rPr>
        <w:t xml:space="preserve">(147,152D) </w:t>
      </w:r>
      <w:r>
        <w:rPr>
          <w:rFonts w:ascii="Times New Roman" w:hAnsi="Times New Roman"/>
          <w:b/>
          <w:i w:val="false"/>
          <w:color w:val="000000"/>
          <w:sz w:val="22"/>
        </w:rPr>
        <w:t xml:space="preserve">Athletic training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481—507.2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481—507.3</w:t>
      </w:r>
      <w:r>
        <w:rPr>
          <w:rFonts w:ascii="Times New Roman" w:hAnsi="Times New Roman"/>
          <w:b/>
          <w:i w:val="false"/>
          <w:color w:val="000000"/>
          <w:sz w:val="22"/>
        </w:rPr>
        <w:t xml:space="preserve">(147,154D) </w:t>
      </w:r>
      <w:r>
        <w:rPr>
          <w:rFonts w:ascii="Times New Roman" w:hAnsi="Times New Roman"/>
          <w:b/>
          <w:i w:val="false"/>
          <w:color w:val="000000"/>
          <w:sz w:val="22"/>
        </w:rPr>
        <w:t xml:space="preserve">Behavioral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507.3(3)</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as a behavior analyst or assistant behavior analyst is $120. Behavior analyst and assistant behavior analyst licenses issued for less than one year shall not be subject to a renewal fee for the first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507.3(5)</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507.3(6)</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507.3(7)</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507.3(8)</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507.3(9)</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507.3(10)</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481—507.4</w:t>
      </w:r>
      <w:r>
        <w:rPr>
          <w:rFonts w:ascii="Times New Roman" w:hAnsi="Times New Roman"/>
          <w:b/>
          <w:i w:val="false"/>
          <w:color w:val="000000"/>
          <w:sz w:val="22"/>
        </w:rPr>
        <w:t xml:space="preserve">(151) </w:t>
      </w:r>
      <w:r>
        <w:rPr>
          <w:rFonts w:ascii="Times New Roman" w:hAnsi="Times New Roman"/>
          <w:b/>
          <w:i w:val="false"/>
          <w:color w:val="000000"/>
          <w:sz w:val="22"/>
        </w:rPr>
        <w:t xml:space="preserve">Chiropractic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chiropractic is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507.4(2)</w:t>
      </w:r>
      <w:r>
        <w:rPr>
          <w:rFonts w:ascii="Times New Roman" w:hAnsi="Times New Roman"/>
          <w:b w:val="false"/>
          <w:i w:val="false"/>
          <w:color w:val="000000"/>
          <w:sz w:val="22"/>
        </w:rPr>
        <w:t> </w:t>
      </w:r>
      <w:r>
        <w:rPr>
          <w:rFonts w:ascii="Times New Roman" w:hAnsi="Times New Roman"/>
          <w:b w:val="false"/>
          <w:i w:val="false"/>
          <w:color w:val="000000"/>
          <w:sz w:val="22"/>
        </w:rPr>
        <w:t>Fee for issuance of annual temporary certificate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the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481—507.5</w:t>
      </w:r>
      <w:r>
        <w:rPr>
          <w:rFonts w:ascii="Times New Roman" w:hAnsi="Times New Roman"/>
          <w:b/>
          <w:i w:val="false"/>
          <w:color w:val="000000"/>
          <w:sz w:val="22"/>
        </w:rPr>
        <w:t xml:space="preserve">(147,157) </w:t>
      </w:r>
      <w:r>
        <w:rPr>
          <w:rFonts w:ascii="Times New Roman" w:hAnsi="Times New Roman"/>
          <w:b/>
          <w:i w:val="false"/>
          <w:color w:val="000000"/>
          <w:sz w:val="22"/>
        </w:rPr>
        <w:t xml:space="preserve">Barbering and cosmetology arts and sciences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barbering and cosmetology arts and sciences, license by endorsement, license by reciprocity, or an instructor’s license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applicants licensed to practice barbering and cosmetology arts and sciences is $120; for establishments, $144; and for schools, $330.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507.5(6)</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507.5(9)</w:t>
      </w:r>
      <w:r>
        <w:rPr>
          <w:rFonts w:ascii="Times New Roman" w:hAnsi="Times New Roman"/>
          <w:b w:val="false"/>
          <w:i w:val="false"/>
          <w:color w:val="000000"/>
          <w:sz w:val="22"/>
        </w:rPr>
        <w:t> </w:t>
      </w:r>
      <w:r>
        <w:rPr>
          <w:rFonts w:ascii="Times New Roman" w:hAnsi="Times New Roman"/>
          <w:b w:val="false"/>
          <w:i w:val="false"/>
          <w:color w:val="000000"/>
          <w:sz w:val="22"/>
        </w:rPr>
        <w:t>Fee for license to conduct a school teaching barbering and cosmetology arts and sciences is $600.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507.5(10)</w:t>
      </w:r>
      <w:r>
        <w:rPr>
          <w:rFonts w:ascii="Times New Roman" w:hAnsi="Times New Roman"/>
          <w:b w:val="false"/>
          <w:i w:val="false"/>
          <w:color w:val="000000"/>
          <w:sz w:val="22"/>
        </w:rPr>
        <w:t> </w:t>
      </w:r>
      <w:r>
        <w:rPr>
          <w:rFonts w:ascii="Times New Roman" w:hAnsi="Times New Roman"/>
          <w:b w:val="false"/>
          <w:i w:val="false"/>
          <w:color w:val="000000"/>
          <w:sz w:val="22"/>
        </w:rPr>
        <w:t>Fee for renewal of a school license is $270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507.5(11)</w:t>
      </w:r>
      <w:r>
        <w:rPr>
          <w:rFonts w:ascii="Times New Roman" w:hAnsi="Times New Roman"/>
          <w:b w:val="false"/>
          <w:i w:val="false"/>
          <w:color w:val="000000"/>
          <w:sz w:val="22"/>
        </w:rPr>
        <w:t> </w:t>
      </w:r>
      <w:r>
        <w:rPr>
          <w:rFonts w:ascii="Times New Roman" w:hAnsi="Times New Roman"/>
          <w:b w:val="false"/>
          <w:i w:val="false"/>
          <w:color w:val="000000"/>
          <w:sz w:val="22"/>
        </w:rPr>
        <w:t>Establishment license fee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establishment license for each biennium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507.5(13)</w:t>
      </w:r>
      <w:r>
        <w:rPr>
          <w:rFonts w:ascii="Times New Roman" w:hAnsi="Times New Roman"/>
          <w:b w:val="false"/>
          <w:i w:val="false"/>
          <w:color w:val="000000"/>
          <w:sz w:val="22"/>
        </w:rPr>
        <w:t> </w:t>
      </w:r>
      <w:r>
        <w:rPr>
          <w:rFonts w:ascii="Times New Roman" w:hAnsi="Times New Roman"/>
          <w:b w:val="false"/>
          <w:i w:val="false"/>
          <w:color w:val="000000"/>
          <w:sz w:val="22"/>
        </w:rPr>
        <w:t>Demonstrator and not-for-profit temporary permit fee is $42 for the first day and $12 for each day thereafter that the permit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507.5(14)</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to administer microdermabrasion or utilize a certified laser product or an intense pulsed light (IPL) device is $25 for each type of procedure or certified laser product or IPL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507.5(15)</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of barbers and cosmetologists to perform shaving for hair removal or administer chemical peels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507.5(16)</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fee and renewal fee for the one-year permit allowing limited services outside of a licensed establishment as outlined in rules </w:t>
      </w:r>
      <w:hyperlink r:id="rId16">
        <w:r>
          <w:rPr>
            <w:rStyle w:val="Hyperlink"/>
            <w:rFonts w:ascii="Times New Roman" w:hAnsi="Times New Roman"/>
            <w:b w:val="false"/>
            <w:i w:val="false"/>
            <w:color w:val="000000"/>
            <w:sz w:val="22"/>
          </w:rPr>
          <w:t>481—943.16</w:t>
        </w:r>
      </w:hyperlink>
      <w:r>
        <w:rPr>
          <w:rFonts w:ascii="Times New Roman" w:hAnsi="Times New Roman"/>
          <w:b w:val="false"/>
          <w:i w:val="false"/>
          <w:color w:val="000000"/>
          <w:sz w:val="22"/>
        </w:rPr>
        <w:t xml:space="preserve">(157) and </w:t>
      </w:r>
      <w:hyperlink r:id="rId17">
        <w:r>
          <w:rPr>
            <w:rStyle w:val="Hyperlink"/>
            <w:rFonts w:ascii="Times New Roman" w:hAnsi="Times New Roman"/>
            <w:b w:val="false"/>
            <w:i w:val="false"/>
            <w:color w:val="000000"/>
            <w:sz w:val="22"/>
          </w:rPr>
          <w:t>481—943.22</w:t>
        </w:r>
      </w:hyperlink>
      <w:r>
        <w:rPr>
          <w:rFonts w:ascii="Times New Roman" w:hAnsi="Times New Roman"/>
          <w:b w:val="false"/>
          <w:i w:val="false"/>
          <w:color w:val="000000"/>
          <w:sz w:val="22"/>
        </w:rPr>
        <w:t>(157) is $40.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481—507.6</w:t>
      </w:r>
      <w:r>
        <w:rPr>
          <w:rFonts w:ascii="Times New Roman" w:hAnsi="Times New Roman"/>
          <w:b/>
          <w:i w:val="false"/>
          <w:color w:val="000000"/>
          <w:sz w:val="22"/>
        </w:rPr>
        <w:t xml:space="preserve">(147,152A) </w:t>
      </w:r>
      <w:r>
        <w:rPr>
          <w:rFonts w:ascii="Times New Roman" w:hAnsi="Times New Roman"/>
          <w:b/>
          <w:i w:val="false"/>
          <w:color w:val="000000"/>
          <w:sz w:val="22"/>
        </w:rPr>
        <w:t xml:space="preserve">Dietetics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dietetics,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507.6(4)</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481—507.7</w:t>
      </w:r>
      <w:r>
        <w:rPr>
          <w:rFonts w:ascii="Times New Roman" w:hAnsi="Times New Roman"/>
          <w:b/>
          <w:i w:val="false"/>
          <w:color w:val="000000"/>
          <w:sz w:val="22"/>
        </w:rPr>
        <w:t xml:space="preserve">(147,154A) </w:t>
      </w:r>
      <w:r>
        <w:rPr>
          <w:rFonts w:ascii="Times New Roman" w:hAnsi="Times New Roman"/>
          <w:b/>
          <w:i w:val="false"/>
          <w:color w:val="000000"/>
          <w:sz w:val="22"/>
        </w:rPr>
        <w:t xml:space="preserve">Hearing aid specialists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to practice by examination, endorsement, or reciprocity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507.7(2)</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507.7(3)</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507.7(4)</w:t>
      </w:r>
      <w:r>
        <w:rPr>
          <w:rFonts w:ascii="Times New Roman" w:hAnsi="Times New Roman"/>
          <w:b w:val="false"/>
          <w:i w:val="false"/>
          <w:color w:val="000000"/>
          <w:sz w:val="22"/>
        </w:rPr>
        <w:t> </w:t>
      </w:r>
      <w:r>
        <w:rPr>
          <w:rFonts w:ascii="Times New Roman" w:hAnsi="Times New Roman"/>
          <w:b w:val="false"/>
          <w:i w:val="false"/>
          <w:color w:val="000000"/>
          <w:sz w:val="22"/>
        </w:rPr>
        <w:t>Late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4">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481—507.8</w:t>
      </w:r>
      <w:r>
        <w:rPr>
          <w:rFonts w:ascii="Times New Roman" w:hAnsi="Times New Roman"/>
          <w:b/>
          <w:i w:val="false"/>
          <w:color w:val="000000"/>
          <w:sz w:val="22"/>
        </w:rPr>
        <w:t xml:space="preserve">(147) </w:t>
      </w:r>
      <w:r>
        <w:rPr>
          <w:rFonts w:ascii="Times New Roman" w:hAnsi="Times New Roman"/>
          <w:b/>
          <w:i w:val="false"/>
          <w:color w:val="000000"/>
          <w:sz w:val="22"/>
        </w:rPr>
        <w:t xml:space="preserve">Massage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massage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507.8(3)</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up to one year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507.8(10)</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approval of massage therapy education curriculum is $120.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481—507.9</w:t>
      </w:r>
      <w:r>
        <w:rPr>
          <w:rFonts w:ascii="Times New Roman" w:hAnsi="Times New Roman"/>
          <w:b/>
          <w:i w:val="false"/>
          <w:color w:val="000000"/>
          <w:sz w:val="22"/>
        </w:rPr>
        <w:t xml:space="preserve">(147,156) </w:t>
      </w:r>
      <w:r>
        <w:rPr>
          <w:rFonts w:ascii="Times New Roman" w:hAnsi="Times New Roman"/>
          <w:b/>
          <w:i w:val="false"/>
          <w:color w:val="000000"/>
          <w:sz w:val="22"/>
        </w:rPr>
        <w:t xml:space="preserve">Mortuary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funeral directing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507.9(2)</w:t>
      </w:r>
      <w:r>
        <w:rPr>
          <w:rFonts w:ascii="Times New Roman" w:hAnsi="Times New Roman"/>
          <w:b w:val="false"/>
          <w:i w:val="false"/>
          <w:color w:val="000000"/>
          <w:sz w:val="22"/>
        </w:rPr>
        <w:t> </w:t>
      </w:r>
      <w:r>
        <w:rPr>
          <w:rFonts w:ascii="Times New Roman" w:hAnsi="Times New Roman"/>
          <w:b w:val="false"/>
          <w:i w:val="false"/>
          <w:color w:val="000000"/>
          <w:sz w:val="22"/>
        </w:rPr>
        <w:t>Biennial funeral director’s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funeral director is $180 and for a funeral establishment or cremation establishment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507.9(9)</w:t>
      </w:r>
      <w:r>
        <w:rPr>
          <w:rFonts w:ascii="Times New Roman" w:hAnsi="Times New Roman"/>
          <w:b w:val="false"/>
          <w:i w:val="false"/>
          <w:color w:val="000000"/>
          <w:sz w:val="22"/>
        </w:rPr>
        <w:t> </w:t>
      </w:r>
      <w:r>
        <w:rPr>
          <w:rFonts w:ascii="Times New Roman" w:hAnsi="Times New Roman"/>
          <w:b w:val="false"/>
          <w:i w:val="false"/>
          <w:color w:val="000000"/>
          <w:sz w:val="22"/>
        </w:rPr>
        <w:t>Funeral establishment or cremation establishment fee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507.9(10)</w:t>
      </w:r>
      <w:r>
        <w:rPr>
          <w:rFonts w:ascii="Times New Roman" w:hAnsi="Times New Roman"/>
          <w:b w:val="false"/>
          <w:i w:val="false"/>
          <w:color w:val="000000"/>
          <w:sz w:val="22"/>
        </w:rPr>
        <w:t> </w:t>
      </w:r>
      <w:r>
        <w:rPr>
          <w:rFonts w:ascii="Times New Roman" w:hAnsi="Times New Roman"/>
          <w:b w:val="false"/>
          <w:i w:val="false"/>
          <w:color w:val="000000"/>
          <w:sz w:val="22"/>
        </w:rPr>
        <w:t>Three-year renewal fee of funeral establishment or cremation establishment is $90.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481—507.10</w:t>
      </w:r>
      <w:r>
        <w:rPr>
          <w:rFonts w:ascii="Times New Roman" w:hAnsi="Times New Roman"/>
          <w:b/>
          <w:i w:val="false"/>
          <w:color w:val="000000"/>
          <w:sz w:val="22"/>
        </w:rPr>
        <w:t xml:space="preserve">(147,155) </w:t>
      </w:r>
      <w:r>
        <w:rPr>
          <w:rFonts w:ascii="Times New Roman" w:hAnsi="Times New Roman"/>
          <w:b/>
          <w:i w:val="false"/>
          <w:color w:val="000000"/>
          <w:sz w:val="22"/>
        </w:rPr>
        <w:t xml:space="preserve">Nursing home administrators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nursing home administration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507.10(9)</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33">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481—507.11</w:t>
      </w:r>
      <w:r>
        <w:rPr>
          <w:rFonts w:ascii="Times New Roman" w:hAnsi="Times New Roman"/>
          <w:b/>
          <w:i w:val="false"/>
          <w:color w:val="000000"/>
          <w:sz w:val="22"/>
        </w:rPr>
        <w:t xml:space="preserve">(147,148B) </w:t>
      </w:r>
      <w:r>
        <w:rPr>
          <w:rFonts w:ascii="Times New Roman" w:hAnsi="Times New Roman"/>
          <w:b/>
          <w:i w:val="false"/>
          <w:color w:val="000000"/>
          <w:sz w:val="22"/>
        </w:rPr>
        <w:t xml:space="preserve">Occupational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507.11(1)</w:t>
      </w:r>
      <w:r>
        <w:rPr>
          <w:rFonts w:ascii="Times New Roman" w:hAnsi="Times New Roman"/>
          <w:b w:val="false"/>
          <w:i w:val="false"/>
          <w:color w:val="000000"/>
          <w:sz w:val="22"/>
        </w:rPr>
        <w:t> </w:t>
      </w:r>
      <w:r>
        <w:rPr>
          <w:rFonts w:ascii="Times New Roman" w:hAnsi="Times New Roman"/>
          <w:b w:val="false"/>
          <w:i w:val="false"/>
          <w:color w:val="000000"/>
          <w:sz w:val="22"/>
        </w:rPr>
        <w:t>License fee for an occupational therapist or occupational therapist assistant license to practice occupational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to practice occupational therapy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an occupational therapy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481—507.12</w:t>
      </w:r>
      <w:r>
        <w:rPr>
          <w:rFonts w:ascii="Times New Roman" w:hAnsi="Times New Roman"/>
          <w:b/>
          <w:i w:val="false"/>
          <w:color w:val="000000"/>
          <w:sz w:val="22"/>
        </w:rPr>
        <w:t xml:space="preserve">(147,154) </w:t>
      </w:r>
      <w:r>
        <w:rPr>
          <w:rFonts w:ascii="Times New Roman" w:hAnsi="Times New Roman"/>
          <w:b/>
          <w:i w:val="false"/>
          <w:color w:val="000000"/>
          <w:sz w:val="22"/>
        </w:rPr>
        <w:t xml:space="preserve">Optometry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optometry, license by endorsement, or license by reciprocity is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507.12(4)</w:t>
      </w:r>
      <w:r>
        <w:rPr>
          <w:rFonts w:ascii="Times New Roman" w:hAnsi="Times New Roman"/>
          <w:b w:val="false"/>
          <w:i w:val="false"/>
          <w:color w:val="000000"/>
          <w:sz w:val="22"/>
        </w:rPr>
        <w:t> </w:t>
      </w:r>
      <w:r>
        <w:rPr>
          <w:rFonts w:ascii="Times New Roman" w:hAnsi="Times New Roman"/>
          <w:b w:val="false"/>
          <w:i w:val="false"/>
          <w:color w:val="000000"/>
          <w:sz w:val="22"/>
        </w:rPr>
        <w:t>Reactivation fee is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481—507.13</w:t>
      </w:r>
      <w:r>
        <w:rPr>
          <w:rFonts w:ascii="Times New Roman" w:hAnsi="Times New Roman"/>
          <w:b/>
          <w:i w:val="false"/>
          <w:color w:val="000000"/>
          <w:sz w:val="22"/>
        </w:rPr>
        <w:t xml:space="preserve">(147,148A) </w:t>
      </w:r>
      <w:r>
        <w:rPr>
          <w:rFonts w:ascii="Times New Roman" w:hAnsi="Times New Roman"/>
          <w:b/>
          <w:i w:val="false"/>
          <w:color w:val="000000"/>
          <w:sz w:val="22"/>
        </w:rPr>
        <w:t xml:space="preserve">Physical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physical therapy or as a physical therapist assistant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associates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507.14(2)</w:t>
      </w:r>
      <w:r>
        <w:rPr>
          <w:rFonts w:ascii="Times New Roman" w:hAnsi="Times New Roman"/>
          <w:b w:val="false"/>
          <w:i w:val="false"/>
          <w:color w:val="000000"/>
          <w:sz w:val="22"/>
        </w:rPr>
        <w:t> </w:t>
      </w:r>
      <w:r>
        <w:rPr>
          <w:rFonts w:ascii="Times New Roman" w:hAnsi="Times New Roman"/>
          <w:b w:val="false"/>
          <w:i w:val="false"/>
          <w:color w:val="000000"/>
          <w:sz w:val="22"/>
        </w:rPr>
        <w:t>Fee for a temporary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507.14(3)</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481—507.15</w:t>
      </w:r>
      <w:r>
        <w:rPr>
          <w:rFonts w:ascii="Times New Roman" w:hAnsi="Times New Roman"/>
          <w:b/>
          <w:i w:val="false"/>
          <w:color w:val="000000"/>
          <w:sz w:val="22"/>
        </w:rPr>
        <w:t xml:space="preserve">(147,148F,149) </w:t>
      </w:r>
      <w:r>
        <w:rPr>
          <w:rFonts w:ascii="Times New Roman" w:hAnsi="Times New Roman"/>
          <w:b/>
          <w:i w:val="false"/>
          <w:color w:val="000000"/>
          <w:sz w:val="22"/>
        </w:rPr>
        <w:t xml:space="preserve">Podiatry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podiatry, license by endorsement, or license by reciprocity is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podiatry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507.15(3)</w:t>
      </w:r>
      <w:r>
        <w:rPr>
          <w:rFonts w:ascii="Times New Roman" w:hAnsi="Times New Roman"/>
          <w:b w:val="false"/>
          <w:i w:val="false"/>
          <w:color w:val="000000"/>
          <w:sz w:val="22"/>
        </w:rPr>
        <w:t> </w:t>
      </w:r>
      <w:r>
        <w:rPr>
          <w:rFonts w:ascii="Times New Roman" w:hAnsi="Times New Roman"/>
          <w:b w:val="false"/>
          <w:i w:val="false"/>
          <w:color w:val="000000"/>
          <w:sz w:val="22"/>
        </w:rPr>
        <w:t>The fee for a license to practice orthotics, prosthetics, or pedorthics received on or before July 1, 2015, shall be $600. The fee for a license to practice orthotics, prosthetics, or pedorthics received after July 1, 2015, shall be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$400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507.15(5)</w:t>
      </w:r>
      <w:r>
        <w:rPr>
          <w:rFonts w:ascii="Times New Roman" w:hAnsi="Times New Roman"/>
          <w:b w:val="false"/>
          <w:i w:val="false"/>
          <w:color w:val="000000"/>
          <w:sz w:val="22"/>
        </w:rPr>
        <w:t> </w:t>
      </w:r>
      <w:r>
        <w:rPr>
          <w:rFonts w:ascii="Times New Roman" w:hAnsi="Times New Roman"/>
          <w:b w:val="false"/>
          <w:i w:val="false"/>
          <w:color w:val="000000"/>
          <w:sz w:val="22"/>
        </w:rPr>
        <w:t>Reactivation fee is $460.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507.15(6)</w:t>
      </w:r>
      <w:r>
        <w:rPr>
          <w:rFonts w:ascii="Times New Roman" w:hAnsi="Times New Roman"/>
          <w:b w:val="false"/>
          <w:i w:val="false"/>
          <w:color w:val="000000"/>
          <w:sz w:val="22"/>
        </w:rPr>
        <w:t> </w:t>
      </w:r>
      <w:r>
        <w:rPr>
          <w:rFonts w:ascii="Times New Roman" w:hAnsi="Times New Roman"/>
          <w:b w:val="false"/>
          <w:i w:val="false"/>
          <w:color w:val="000000"/>
          <w:sz w:val="22"/>
        </w:rPr>
        <w:t>Temporary license renewal fee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507.15(7)</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507.15(8)</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507.15(9)</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507.15(10)</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507.15(11)</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481—507.16</w:t>
      </w:r>
      <w:r>
        <w:rPr>
          <w:rFonts w:ascii="Times New Roman" w:hAnsi="Times New Roman"/>
          <w:b/>
          <w:i w:val="false"/>
          <w:color w:val="000000"/>
          <w:sz w:val="22"/>
        </w:rPr>
        <w:t xml:space="preserve">(147,154B) </w:t>
      </w:r>
      <w:r>
        <w:rPr>
          <w:rFonts w:ascii="Times New Roman" w:hAnsi="Times New Roman"/>
          <w:b/>
          <w:i w:val="false"/>
          <w:color w:val="000000"/>
          <w:sz w:val="22"/>
        </w:rPr>
        <w:t xml:space="preserve">Psychology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psychology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507.16(4)</w:t>
      </w:r>
      <w:r>
        <w:rPr>
          <w:rFonts w:ascii="Times New Roman" w:hAnsi="Times New Roman"/>
          <w:b w:val="false"/>
          <w:i w:val="false"/>
          <w:color w:val="000000"/>
          <w:sz w:val="22"/>
        </w:rPr>
        <w:t> </w:t>
      </w:r>
      <w:r>
        <w:rPr>
          <w:rFonts w:ascii="Times New Roman" w:hAnsi="Times New Roman"/>
          <w:b w:val="false"/>
          <w:i w:val="false"/>
          <w:color w:val="000000"/>
          <w:sz w:val="22"/>
        </w:rPr>
        <w:t>Reactivation fee is $230.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507.16(9)</w:t>
      </w:r>
      <w:r>
        <w:rPr>
          <w:rFonts w:ascii="Times New Roman" w:hAnsi="Times New Roman"/>
          <w:b w:val="false"/>
          <w:i w:val="false"/>
          <w:color w:val="000000"/>
          <w:sz w:val="22"/>
        </w:rPr>
        <w:t> </w:t>
      </w:r>
      <w:r>
        <w:rPr>
          <w:rFonts w:ascii="Times New Roman" w:hAnsi="Times New Roman"/>
          <w:b w:val="false"/>
          <w:i w:val="false"/>
          <w:color w:val="000000"/>
          <w:sz w:val="22"/>
        </w:rPr>
        <w:t>Processing fee for exemption to licensure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507.16(10)</w:t>
      </w:r>
      <w:r>
        <w:rPr>
          <w:rFonts w:ascii="Times New Roman" w:hAnsi="Times New Roman"/>
          <w:b w:val="false"/>
          <w:i w:val="false"/>
          <w:color w:val="000000"/>
          <w:sz w:val="22"/>
        </w:rPr>
        <w:t> </w:t>
      </w:r>
      <w:r>
        <w:rPr>
          <w:rFonts w:ascii="Times New Roman" w:hAnsi="Times New Roman"/>
          <w:b w:val="false"/>
          <w:i w:val="false"/>
          <w:color w:val="000000"/>
          <w:sz w:val="22"/>
        </w:rPr>
        <w:t>Certification fee for a health service provider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507.16(11)</w:t>
      </w:r>
      <w:r>
        <w:rPr>
          <w:rFonts w:ascii="Times New Roman" w:hAnsi="Times New Roman"/>
          <w:b w:val="false"/>
          <w:i w:val="false"/>
          <w:color w:val="000000"/>
          <w:sz w:val="22"/>
        </w:rPr>
        <w:t> </w:t>
      </w:r>
      <w:r>
        <w:rPr>
          <w:rFonts w:ascii="Times New Roman" w:hAnsi="Times New Roman"/>
          <w:b w:val="false"/>
          <w:i w:val="false"/>
          <w:color w:val="000000"/>
          <w:sz w:val="22"/>
        </w:rPr>
        <w:t>Biennial renewal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507.16(12)</w:t>
      </w:r>
      <w:r>
        <w:rPr>
          <w:rFonts w:ascii="Times New Roman" w:hAnsi="Times New Roman"/>
          <w:b w:val="false"/>
          <w:i w:val="false"/>
          <w:color w:val="000000"/>
          <w:sz w:val="22"/>
        </w:rPr>
        <w:t> </w:t>
      </w:r>
      <w:r>
        <w:rPr>
          <w:rFonts w:ascii="Times New Roman" w:hAnsi="Times New Roman"/>
          <w:b w:val="false"/>
          <w:i w:val="false"/>
          <w:color w:val="000000"/>
          <w:sz w:val="22"/>
        </w:rPr>
        <w:t>Reactivation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507.16(13)</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507.16(14)</w:t>
      </w:r>
      <w:r>
        <w:rPr>
          <w:rFonts w:ascii="Times New Roman" w:hAnsi="Times New Roman"/>
          <w:b w:val="false"/>
          <w:i w:val="false"/>
          <w:color w:val="000000"/>
          <w:sz w:val="22"/>
        </w:rPr>
        <w:t> </w:t>
      </w:r>
      <w:r>
        <w:rPr>
          <w:rFonts w:ascii="Times New Roman" w:hAnsi="Times New Roman"/>
          <w:b w:val="false"/>
          <w:i w:val="false"/>
          <w:color w:val="000000"/>
          <w:sz w:val="22"/>
        </w:rPr>
        <w:t>Provisional license renewal fee is $170.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xml:space="preserve"> and chapters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481—507.17</w:t>
      </w:r>
      <w:r>
        <w:rPr>
          <w:rFonts w:ascii="Times New Roman" w:hAnsi="Times New Roman"/>
          <w:b/>
          <w:i w:val="false"/>
          <w:color w:val="000000"/>
          <w:sz w:val="22"/>
        </w:rPr>
        <w:t xml:space="preserve">(147,152B) </w:t>
      </w:r>
      <w:r>
        <w:rPr>
          <w:rFonts w:ascii="Times New Roman" w:hAnsi="Times New Roman"/>
          <w:b/>
          <w:i w:val="false"/>
          <w:color w:val="000000"/>
          <w:sz w:val="22"/>
        </w:rPr>
        <w:t xml:space="preserve">Respiratory care and polysomnography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507.17(1)</w:t>
      </w:r>
      <w:r>
        <w:rPr>
          <w:rFonts w:ascii="Times New Roman" w:hAnsi="Times New Roman"/>
          <w:b w:val="false"/>
          <w:i w:val="false"/>
          <w:color w:val="000000"/>
          <w:sz w:val="22"/>
        </w:rPr>
        <w:t> </w:t>
      </w:r>
      <w:r>
        <w:rPr>
          <w:rFonts w:ascii="Times New Roman" w:hAnsi="Times New Roman"/>
          <w:b w:val="false"/>
          <w:i w:val="false"/>
          <w:color w:val="000000"/>
          <w:sz w:val="22"/>
        </w:rPr>
        <w:t>Initial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practitioner license is $75, plus the cost for evaluation of the fingerprint packet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polysomnographic technologist license is $75,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and polysomnography practitioner license is $90,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practitioner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polysomnographic technologist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and polysomnography practitioner license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507.17(4)</w:t>
      </w:r>
      <w:r>
        <w:rPr>
          <w:rFonts w:ascii="Times New Roman" w:hAnsi="Times New Roman"/>
          <w:b w:val="false"/>
          <w:i w:val="false"/>
          <w:color w:val="000000"/>
          <w:sz w:val="22"/>
        </w:rPr>
        <w:t> </w:t>
      </w:r>
      <w:r>
        <w:rPr>
          <w:rFonts w:ascii="Times New Roman" w:hAnsi="Times New Roman"/>
          <w:b w:val="false"/>
          <w:i w:val="false"/>
          <w:color w:val="000000"/>
          <w:sz w:val="22"/>
        </w:rPr>
        <w:t>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as a polysomnographic technologist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and polysomnography is $150,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481—507.18</w:t>
      </w:r>
      <w:r>
        <w:rPr>
          <w:rFonts w:ascii="Times New Roman" w:hAnsi="Times New Roman"/>
          <w:b/>
          <w:i w:val="false"/>
          <w:color w:val="000000"/>
          <w:sz w:val="22"/>
        </w:rPr>
        <w:t xml:space="preserve">(147,154E) </w:t>
      </w:r>
      <w:r>
        <w:rPr>
          <w:rFonts w:ascii="Times New Roman" w:hAnsi="Times New Roman"/>
          <w:b/>
          <w:i w:val="false"/>
          <w:color w:val="000000"/>
          <w:sz w:val="22"/>
        </w:rPr>
        <w:t xml:space="preserve">Sign language interpreters and transliterators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507.18(9)</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481—507.19</w:t>
      </w:r>
      <w:r>
        <w:rPr>
          <w:rFonts w:ascii="Times New Roman" w:hAnsi="Times New Roman"/>
          <w:b/>
          <w:i w:val="false"/>
          <w:color w:val="000000"/>
          <w:sz w:val="22"/>
        </w:rPr>
        <w:t xml:space="preserve">(147,154C) </w:t>
      </w:r>
      <w:r>
        <w:rPr>
          <w:rFonts w:ascii="Times New Roman" w:hAnsi="Times New Roman"/>
          <w:b/>
          <w:i w:val="false"/>
          <w:color w:val="000000"/>
          <w:sz w:val="22"/>
        </w:rPr>
        <w:t xml:space="preserve">Social work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social work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license at the bachelor’s level is $72; at the master’s level, $120; and at the independent level,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license at the bachelor’s level is $132; at the master’s level, $180; and at the independent level,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8">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6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481—507.20</w:t>
      </w:r>
      <w:r>
        <w:rPr>
          <w:rFonts w:ascii="Times New Roman" w:hAnsi="Times New Roman"/>
          <w:b/>
          <w:i w:val="false"/>
          <w:color w:val="000000"/>
          <w:sz w:val="22"/>
        </w:rPr>
        <w:t xml:space="preserve">(147) </w:t>
      </w:r>
      <w:r>
        <w:rPr>
          <w:rFonts w:ascii="Times New Roman" w:hAnsi="Times New Roman"/>
          <w:b/>
          <w:i w:val="false"/>
          <w:color w:val="000000"/>
          <w:sz w:val="22"/>
        </w:rPr>
        <w:t xml:space="preserve">Speech pathology and audiology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speech pathology or audiology, temporary clinical license,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507.20(9)</w:t>
      </w:r>
      <w:r>
        <w:rPr>
          <w:rFonts w:ascii="Times New Roman" w:hAnsi="Times New Roman"/>
          <w:b w:val="false"/>
          <w:i w:val="false"/>
          <w:color w:val="000000"/>
          <w:sz w:val="22"/>
        </w:rPr>
        <w:t> </w:t>
      </w:r>
      <w:r>
        <w:rPr>
          <w:rFonts w:ascii="Times New Roman" w:hAnsi="Times New Roman"/>
          <w:b w:val="false"/>
          <w:i w:val="false"/>
          <w:color w:val="000000"/>
          <w:sz w:val="22"/>
        </w:rPr>
        <w:t>Temporary clinical license renewal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507.20(10)</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$30.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8152B</w:t>
      </w:r>
      <w:r>
        <w:rPr>
          <w:rFonts w:ascii="Times New Roman" w:hAnsi="Times New Roman"/>
          <w:b w:val="false"/>
          <w:i w:val="false"/>
          <w:color w:val="000000"/>
          <w:sz w:val="21"/>
        </w:rPr>
        <w:t xml:space="preserve"> (Notice ARC 7858B,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8349B</w:t>
      </w:r>
      <w:r>
        <w:rPr>
          <w:rFonts w:ascii="Times New Roman" w:hAnsi="Times New Roman"/>
          <w:b w:val="false"/>
          <w:i w:val="false"/>
          <w:color w:val="000000"/>
          <w:sz w:val="21"/>
        </w:rPr>
        <w:t xml:space="preserve"> (Notice ARC 8085B, IAB 8/26/09)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2717C</w:t>
      </w:r>
      <w:r>
        <w:rPr>
          <w:rFonts w:ascii="Times New Roman" w:hAnsi="Times New Roman"/>
          <w:b w:val="false"/>
          <w:i w:val="false"/>
          <w:color w:val="000000"/>
          <w:sz w:val="21"/>
        </w:rPr>
        <w:t xml:space="preserve"> (Notice ARC 2596C, IAB 6/22/16)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6464C</w:t>
      </w:r>
      <w:r>
        <w:rPr>
          <w:rFonts w:ascii="Times New Roman" w:hAnsi="Times New Roman"/>
          <w:b w:val="false"/>
          <w:i w:val="false"/>
          <w:color w:val="000000"/>
          <w:sz w:val="21"/>
        </w:rPr>
        <w:t xml:space="preserve"> (Notice ARC 6180C, IAB 2/9/22)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6549C</w:t>
      </w:r>
      <w:r>
        <w:rPr>
          <w:rFonts w:ascii="Times New Roman" w:hAnsi="Times New Roman"/>
          <w:b w:val="false"/>
          <w:i w:val="false"/>
          <w:color w:val="000000"/>
          <w:sz w:val="21"/>
        </w:rPr>
        <w:t xml:space="preserve"> (Notice ARC 6401C,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6983C</w:t>
      </w:r>
      <w:r>
        <w:rPr>
          <w:rFonts w:ascii="Times New Roman" w:hAnsi="Times New Roman"/>
          <w:b w:val="false"/>
          <w:i w:val="false"/>
          <w:color w:val="000000"/>
          <w:sz w:val="21"/>
        </w:rPr>
        <w:t xml:space="preserve"> (Notice ARC 6814C, IAB 1/11/23)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8078C</w:t>
      </w:r>
      <w:r>
        <w:rPr>
          <w:rFonts w:ascii="Times New Roman" w:hAnsi="Times New Roman"/>
          <w:b w:val="false"/>
          <w:i w:val="false"/>
          <w:color w:val="000000"/>
          <w:sz w:val="21"/>
        </w:rPr>
        <w:t xml:space="preserve"> (Notice ARC 7306C,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6/10/26]</w:t>
      </w:r>
    </w:p>
    <w:sectPr>
      <w:footerReference r:id="rId7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2D.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7.8.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54D.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51.pdf" Type="http://schemas.openxmlformats.org/officeDocument/2006/relationships/hyperlink" Id="rId14"/>
    <Relationship TargetMode="External" Target="https://www.legis.iowa.gov/docs/ico/chapter/272C.pdf" Type="http://schemas.openxmlformats.org/officeDocument/2006/relationships/hyperlink" Id="rId15"/>
    <Relationship TargetMode="External" Target="https://www.legis.iowa.gov/docs/iac/rule/481.943.16.pdf" Type="http://schemas.openxmlformats.org/officeDocument/2006/relationships/hyperlink" Id="rId16"/>
    <Relationship TargetMode="External" Target="https://www.legis.iowa.gov/docs/iac/rule/481.943.22.pdf" Type="http://schemas.openxmlformats.org/officeDocument/2006/relationships/hyperlink" Id="rId17"/>
    <Relationship TargetMode="External" Target="https://www.legis.iowa.gov/docs/ico/chapter/147.80.pdf" Type="http://schemas.openxmlformats.org/officeDocument/2006/relationships/hyperlink" Id="rId18"/>
    <Relationship TargetMode="External" Target="https://www.legis.iowa.gov/docs/ico/chapter/157.pdf" Type="http://schemas.openxmlformats.org/officeDocument/2006/relationships/hyperlink" Id="rId19"/>
    <Relationship TargetMode="External" Target="https://www.legis.iowa.gov/docs/ico/chapter/147.8.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52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154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272C.pdf" Type="http://schemas.openxmlformats.org/officeDocument/2006/relationships/hyperlink" Id="rId27"/>
    <Relationship TargetMode="External" Target="https://www.legis.iowa.gov/docs/ico/chapter/147.8.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56.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47.80.pdf" Type="http://schemas.openxmlformats.org/officeDocument/2006/relationships/hyperlink" Id="rId32"/>
    <Relationship TargetMode="External" Target="https://www.legis.iowa.gov/docs/ico/chapter/155.pdf" Type="http://schemas.openxmlformats.org/officeDocument/2006/relationships/hyperlink" Id="rId33"/>
    <Relationship TargetMode="External" Target="https://www.legis.iowa.gov/docs/ico/chapter/147.8.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148B.pdf" Type="http://schemas.openxmlformats.org/officeDocument/2006/relationships/hyperlink" Id="rId36"/>
    <Relationship TargetMode="External" Target="https://www.legis.iowa.gov/docs/ico/chapter/272C.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47.pdf" Type="http://schemas.openxmlformats.org/officeDocument/2006/relationships/hyperlink" Id="rId39"/>
    <Relationship TargetMode="External" Target="https://www.legis.iowa.gov/docs/ico/chapter/154.pdf" Type="http://schemas.openxmlformats.org/officeDocument/2006/relationships/hyperlink" Id="rId40"/>
    <Relationship TargetMode="External" Target="https://www.legis.iowa.gov/docs/ico/chapter/272C.pdf" Type="http://schemas.openxmlformats.org/officeDocument/2006/relationships/hyperlink" Id="rId41"/>
    <Relationship TargetMode="External" Target="https://www.legis.iowa.gov/docs/ico/chapter/147.8.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8A.pdf" Type="http://schemas.openxmlformats.org/officeDocument/2006/relationships/hyperlink" Id="rId44"/>
    <Relationship TargetMode="External" Target="https://www.legis.iowa.gov/docs/ico/chapter/272C.pdf" Type="http://schemas.openxmlformats.org/officeDocument/2006/relationships/hyperlink" Id="rId45"/>
    <Relationship TargetMode="External" Target="https://www.legis.iowa.gov/docs/ico/chapter/147.8.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148C.pdf" Type="http://schemas.openxmlformats.org/officeDocument/2006/relationships/hyperlink" Id="rId48"/>
    <Relationship TargetMode="External" Target="https://www.legis.iowa.gov/docs/ico/chapter/272C.pdf" Type="http://schemas.openxmlformats.org/officeDocument/2006/relationships/hyperlink" Id="rId49"/>
    <Relationship TargetMode="External" Target="https://www.legis.iowa.gov/docs/ico/chapter/147.8.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148F.pdf" Type="http://schemas.openxmlformats.org/officeDocument/2006/relationships/hyperlink" Id="rId52"/>
    <Relationship TargetMode="External" Target="https://www.legis.iowa.gov/docs/ico/chapter/149.pdf" Type="http://schemas.openxmlformats.org/officeDocument/2006/relationships/hyperlink" Id="rId53"/>
    <Relationship TargetMode="External" Target="https://www.legis.iowa.gov/docs/ico/chapter/272C.pdf" Type="http://schemas.openxmlformats.org/officeDocument/2006/relationships/hyperlink" Id="rId54"/>
    <Relationship TargetMode="External" Target="https://www.legis.iowa.gov/docs/ico/chapter/147.80.pdf" Type="http://schemas.openxmlformats.org/officeDocument/2006/relationships/hyperlink" Id="rId55"/>
    <Relationship TargetMode="External" Target="https://www.legis.iowa.gov/docs/ico/chapter/154B.6.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154B.pdf" Type="http://schemas.openxmlformats.org/officeDocument/2006/relationships/hyperlink" Id="rId58"/>
    <Relationship TargetMode="External" Target="https://www.legis.iowa.gov/docs/ico/chapter/272C.pdf" Type="http://schemas.openxmlformats.org/officeDocument/2006/relationships/hyperlink" Id="rId59"/>
    <Relationship TargetMode="External" Target="https://www.legis.iowa.gov/docs/ico/chapter/147.8.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52B.pdf" Type="http://schemas.openxmlformats.org/officeDocument/2006/relationships/hyperlink" Id="rId62"/>
    <Relationship TargetMode="External" Target="https://www.legis.iowa.gov/docs/ico/chapter/272C.pdf" Type="http://schemas.openxmlformats.org/officeDocument/2006/relationships/hyperlink" Id="rId63"/>
    <Relationship TargetMode="External" Target="https://www.legis.iowa.gov/docs/ico/chapter/17A.pdf" Type="http://schemas.openxmlformats.org/officeDocument/2006/relationships/hyperlink" Id="rId64"/>
    <Relationship TargetMode="External" Target="https://www.legis.iowa.gov/docs/ico/chapter/147.pdf" Type="http://schemas.openxmlformats.org/officeDocument/2006/relationships/hyperlink" Id="rId65"/>
    <Relationship TargetMode="External" Target="https://www.legis.iowa.gov/docs/ico/chapter/154E.pdf" Type="http://schemas.openxmlformats.org/officeDocument/2006/relationships/hyperlink" Id="rId66"/>
    <Relationship TargetMode="External" Target="https://www.legis.iowa.gov/docs/ico/chapter/272C.pdf" Type="http://schemas.openxmlformats.org/officeDocument/2006/relationships/hyperlink" Id="rId67"/>
    <Relationship TargetMode="External" Target="https://www.legis.iowa.gov/docs/ico/chapter/147.80.pdf" Type="http://schemas.openxmlformats.org/officeDocument/2006/relationships/hyperlink" Id="rId68"/>
    <Relationship TargetMode="External" Target="https://www.legis.iowa.gov/docs/ico/chapter/17A.pdf" Type="http://schemas.openxmlformats.org/officeDocument/2006/relationships/hyperlink" Id="rId69"/>
    <Relationship TargetMode="External" Target="https://www.legis.iowa.gov/docs/ico/chapter/154C.pdf" Type="http://schemas.openxmlformats.org/officeDocument/2006/relationships/hyperlink" Id="rId70"/>
    <Relationship TargetMode="External" Target="https://www.legis.iowa.gov/docs/ico/chapter/272C.pdf" Type="http://schemas.openxmlformats.org/officeDocument/2006/relationships/hyperlink" Id="rId71"/>
    <Relationship TargetMode="External" Target="https://www.legis.iowa.gov/docs/ico/chapter/17A.pdf" Type="http://schemas.openxmlformats.org/officeDocument/2006/relationships/hyperlink" Id="rId72"/>
    <Relationship TargetMode="External" Target="https://www.legis.iowa.gov/docs/ico/chapter/147.pdf" Type="http://schemas.openxmlformats.org/officeDocument/2006/relationships/hyperlink" Id="rId73"/>
    <Relationship TargetMode="External" Target="https://www.legis.iowa.gov/docs/ico/chapter/272C.pdf" Type="http://schemas.openxmlformats.org/officeDocument/2006/relationships/hyperlink" Id="rId74"/>
    <Relationship Target="footer.xml" Type="http://schemas.openxmlformats.org/officeDocument/2006/relationships/footer" Id="rId7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