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503</w:t>
      </w:r>
    </w:p>
    <w:p>
      <w:pPr>
        <w:spacing w:before="0" w:after="0"/>
        <w:ind w:left="120"/>
        <w:jc w:val="center"/>
      </w:pPr>
      <w:r>
        <w:rPr>
          <w:rFonts w:ascii="Times New Roman" w:hAnsi="Times New Roman"/>
          <w:b w:val="false"/>
          <w:i w:val="false"/>
          <w:color w:val="000000"/>
          <w:sz w:val="21"/>
        </w:rPr>
        <w:t>MODEL RULES FOR COMPLAINTS AND INVESTIGATIONS</w:t>
      </w:r>
    </w:p>
    <w:p>
      <w:pPr>
        <w:spacing w:before="0" w:after="0"/>
        <w:ind w:left="120"/>
        <w:jc w:val="center"/>
      </w:pPr>
      <w:r>
        <w:rPr>
          <w:rFonts w:ascii="Times New Roman" w:hAnsi="Times New Roman"/>
          <w:b w:val="false"/>
          <w:i w:val="false"/>
          <w:color w:val="000000"/>
          <w:sz w:val="14"/>
        </w:rPr>
        <w:t>[Prior to 9/18/24, see Professional Licensure Division[645]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481—503.1</w:t>
      </w:r>
      <w:r>
        <w:rPr>
          <w:rFonts w:ascii="Times New Roman" w:hAnsi="Times New Roman"/>
          <w:b/>
          <w:i w:val="false"/>
          <w:color w:val="000000"/>
          <w:sz w:val="22"/>
        </w:rPr>
        <w:t xml:space="preserve">(272C)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503.1(1)</w:t>
      </w:r>
      <w:r>
        <w:rPr>
          <w:rFonts w:ascii="Times New Roman" w:hAnsi="Times New Roman"/>
          <w:b w:val="false"/>
          <w:i w:val="false"/>
          <w:color w:val="000000"/>
          <w:sz w:val="22"/>
        </w:rPr>
        <w:t> </w:t>
      </w:r>
      <w:r>
        <w:rPr>
          <w:rFonts w:ascii="Times New Roman" w:hAnsi="Times New Roman"/>
          <w:b w:val="false"/>
          <w:i w:val="false"/>
          <w:color w:val="000000"/>
          <w:sz w:val="22"/>
        </w:rPr>
        <w:t>Complaints can be submitted online, in writing, or verbally and are to include the name and contact information of the complainant, the name of the licensee, and a concise statement of the allegations against the licensee. A complaint may also be initiated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civilly liable for filing a complaint in good faith or for cooperating with a board investigation.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481—503.2</w:t>
      </w:r>
      <w:r>
        <w:rPr>
          <w:rFonts w:ascii="Times New Roman" w:hAnsi="Times New Roman"/>
          <w:b/>
          <w:i w:val="false"/>
          <w:color w:val="000000"/>
          <w:sz w:val="22"/>
        </w:rPr>
        <w:t xml:space="preserve">(272C) </w:t>
      </w:r>
      <w:r>
        <w:rPr>
          <w:rFonts w:ascii="Times New Roman" w:hAnsi="Times New Roman"/>
          <w:b/>
          <w:i w:val="false"/>
          <w:color w:val="000000"/>
          <w:sz w:val="22"/>
        </w:rPr>
        <w:t xml:space="preserve">Report of malpractice claims or actions or disciplinary actions. </w:t>
      </w:r>
      <w:r>
        <w:rPr>
          <w:rFonts w:ascii="Times New Roman" w:hAnsi="Times New Roman"/>
          <w:b w:val="false"/>
          <w:i w:val="false"/>
          <w:color w:val="000000"/>
          <w:sz w:val="22"/>
        </w:rPr>
        <w:t>The licensee will submit any judgment or settlement in a malpractice claim or any disciplinary action taken by another licensing authority in another state or jurisdiction to the board within 30 days of the date of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481—503.3</w:t>
      </w:r>
      <w:r>
        <w:rPr>
          <w:rFonts w:ascii="Times New Roman" w:hAnsi="Times New Roman"/>
          <w:b/>
          <w:i w:val="false"/>
          <w:color w:val="000000"/>
          <w:sz w:val="22"/>
        </w:rPr>
        <w:t xml:space="preserve">(272C) </w:t>
      </w:r>
      <w:r>
        <w:rPr>
          <w:rFonts w:ascii="Times New Roman" w:hAnsi="Times New Roman"/>
          <w:b/>
          <w:i w:val="false"/>
          <w:color w:val="000000"/>
          <w:sz w:val="22"/>
        </w:rPr>
        <w:t xml:space="preserve">Report of acts or omissions. </w:t>
      </w:r>
      <w:r>
        <w:rPr>
          <w:rFonts w:ascii="Times New Roman" w:hAnsi="Times New Roman"/>
          <w:b w:val="false"/>
          <w:i w:val="false"/>
          <w:color w:val="000000"/>
          <w:sz w:val="22"/>
        </w:rPr>
        <w:t>A licensee who has knowledge of rule violations committed by another licensee will file a report to the board. The report will include the name and contact information of the licensee and the date, time, and place of the incident.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481—503.4</w:t>
      </w:r>
      <w:r>
        <w:rPr>
          <w:rFonts w:ascii="Times New Roman" w:hAnsi="Times New Roman"/>
          <w:b/>
          <w:i w:val="false"/>
          <w:color w:val="000000"/>
          <w:sz w:val="22"/>
        </w:rPr>
        <w:t xml:space="preserve">(272C) </w:t>
      </w:r>
      <w:r>
        <w:rPr>
          <w:rFonts w:ascii="Times New Roman" w:hAnsi="Times New Roman"/>
          <w:b/>
          <w:i w:val="false"/>
          <w:color w:val="000000"/>
          <w:sz w:val="22"/>
        </w:rPr>
        <w:t xml:space="preserve">Investigation of complaints or reports. </w:t>
      </w:r>
      <w:r>
        <w:rPr>
          <w:rFonts w:ascii="Times New Roman" w:hAnsi="Times New Roman"/>
          <w:b w:val="false"/>
          <w:i w:val="false"/>
          <w:color w:val="000000"/>
          <w:sz w:val="22"/>
        </w:rPr>
        <w:t>Board staff may request additional information, solicit a response from the licensee, subpoena records, conduct interviews, gather evidence, and perform other investigatory duties to sufficiently inform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481—503.5</w:t>
      </w:r>
      <w:r>
        <w:rPr>
          <w:rFonts w:ascii="Times New Roman" w:hAnsi="Times New Roman"/>
          <w:b/>
          <w:i w:val="false"/>
          <w:color w:val="000000"/>
          <w:sz w:val="22"/>
        </w:rPr>
        <w:t xml:space="preserve">(17A,272C) </w:t>
      </w:r>
      <w:r>
        <w:rPr>
          <w:rFonts w:ascii="Times New Roman" w:hAnsi="Times New Roman"/>
          <w:b/>
          <w:i w:val="false"/>
          <w:color w:val="000000"/>
          <w:sz w:val="22"/>
        </w:rPr>
        <w:t xml:space="preserve">Issuance of investigatory 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503.5(1)</w:t>
      </w:r>
      <w:r>
        <w:rPr>
          <w:rFonts w:ascii="Times New Roman" w:hAnsi="Times New Roman"/>
          <w:b w:val="false"/>
          <w:i w:val="false"/>
          <w:color w:val="000000"/>
          <w:sz w:val="22"/>
        </w:rPr>
        <w:t> </w:t>
      </w:r>
      <w:r>
        <w:rPr>
          <w:rFonts w:ascii="Times New Roman" w:hAnsi="Times New Roman"/>
          <w:b w:val="false"/>
          <w:i w:val="false"/>
          <w:color w:val="000000"/>
          <w:sz w:val="22"/>
        </w:rPr>
        <w:t>The board administrator or designee may, upon the written request of a board investigator or on the administrator’s own initiative, subpoena books, papers, records, and other real evidence that is necessary for the board to decide whether to institute a contested case proceeding. In the case of a subpoena for mental health records, each of the following conditions shall be satisfied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503.5(2)</w:t>
      </w:r>
      <w:r>
        <w:rPr>
          <w:rFonts w:ascii="Times New Roman" w:hAnsi="Times New Roman"/>
          <w:b w:val="false"/>
          <w:i w:val="false"/>
          <w:color w:val="000000"/>
          <w:sz w:val="22"/>
        </w:rPr>
        <w:t> </w:t>
      </w:r>
      <w:r>
        <w:rPr>
          <w:rFonts w:ascii="Times New Roman" w:hAnsi="Times New Roman"/>
          <w:b w:val="false"/>
          <w:i w:val="false"/>
          <w:color w:val="000000"/>
          <w:sz w:val="22"/>
        </w:rPr>
        <w:t>Each subpoena will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deadline for a motion to quash or modify the subpoena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board administrator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can challenge the subpoena by filing a motion to quash describing the legal justification for the motion accompanied by a legal brief or factual affidavits, within 14 days after service of the subpoena.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503.5(4)</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an administrative law judge will issue a decision. The administrative law judge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503.5(5)</w:t>
      </w:r>
      <w:r>
        <w:rPr>
          <w:rFonts w:ascii="Times New Roman" w:hAnsi="Times New Roman"/>
          <w:b w:val="false"/>
          <w:i w:val="false"/>
          <w:color w:val="000000"/>
          <w:sz w:val="22"/>
        </w:rPr>
        <w:t> </w:t>
      </w:r>
      <w:r>
        <w:rPr>
          <w:rFonts w:ascii="Times New Roman" w:hAnsi="Times New Roman"/>
          <w:b w:val="false"/>
          <w:i w:val="false"/>
          <w:color w:val="000000"/>
          <w:sz w:val="22"/>
        </w:rPr>
        <w:t>A person aggrieved by a ruling of an administrative law judge who desires to challenge that ruling must appeal the ruling to the board by serving on the board administrator, either in person, via email,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503.5(6)</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(1) the person is notified the investigation has been concluded with no formal action, or (2)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481—503.6</w:t>
      </w:r>
      <w:r>
        <w:rPr>
          <w:rFonts w:ascii="Times New Roman" w:hAnsi="Times New Roman"/>
          <w:b/>
          <w:i w:val="false"/>
          <w:color w:val="000000"/>
          <w:sz w:val="22"/>
        </w:rPr>
        <w:t xml:space="preserve">(272C) </w:t>
      </w:r>
      <w:r>
        <w:rPr>
          <w:rFonts w:ascii="Times New Roman" w:hAnsi="Times New Roman"/>
          <w:b/>
          <w:i w:val="false"/>
          <w:color w:val="000000"/>
          <w:sz w:val="22"/>
        </w:rPr>
        <w:t xml:space="preserve">Peer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503.6(1)</w:t>
      </w:r>
      <w:r>
        <w:rPr>
          <w:rFonts w:ascii="Times New Roman" w:hAnsi="Times New Roman"/>
          <w:b w:val="false"/>
          <w:i w:val="false"/>
          <w:color w:val="000000"/>
          <w:sz w:val="22"/>
        </w:rPr>
        <w:t> </w:t>
      </w:r>
      <w:r>
        <w:rPr>
          <w:rFonts w:ascii="Times New Roman" w:hAnsi="Times New Roman"/>
          <w:b w:val="false"/>
          <w:i w:val="false"/>
          <w:color w:val="000000"/>
          <w:sz w:val="22"/>
        </w:rPr>
        <w:t>A complaint may be assigned to a peer reviewer for review and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determines what complaints or other matters are referred to a peer reviewer.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503.6(3)</w:t>
      </w:r>
      <w:r>
        <w:rPr>
          <w:rFonts w:ascii="Times New Roman" w:hAnsi="Times New Roman"/>
          <w:b w:val="false"/>
          <w:i w:val="false"/>
          <w:color w:val="000000"/>
          <w:sz w:val="22"/>
        </w:rPr>
        <w:t> </w:t>
      </w:r>
      <w:r>
        <w:rPr>
          <w:rFonts w:ascii="Times New Roman" w:hAnsi="Times New Roman"/>
          <w:b w:val="false"/>
          <w:i w:val="false"/>
          <w:color w:val="000000"/>
          <w:sz w:val="22"/>
        </w:rPr>
        <w:t xml:space="preserve">Peer reviewers are not to be liable for acts, omissions, or decisions made in connection with service made in good faith.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peer reviewer will observe the requirements of confidentiality imposed by Iowa Code section </w:t>
      </w:r>
      <w:hyperlink r:id="rId5">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481—503.7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Appearance. </w:t>
      </w:r>
      <w:r>
        <w:rPr>
          <w:rFonts w:ascii="Times New Roman" w:hAnsi="Times New Roman"/>
          <w:b w:val="false"/>
          <w:i w:val="false"/>
          <w:color w:val="000000"/>
          <w:sz w:val="22"/>
        </w:rPr>
        <w:t>The board may request that a licensee appear before a committee of the board to discuss a pending investigation. By electing to participate in the committee appearance, the licensee waives any objection to a board member both participating in the appearance and later participating as a decision maker in a contested case proceeding. By electing to participate in the committee appearance, the licensee further waives any objection to the board administrator assisting the board in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8079C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ARC 8079C</w:t>
      </w:r>
      <w:r>
        <w:rPr>
          <w:rFonts w:ascii="Times New Roman" w:hAnsi="Times New Roman"/>
          <w:b w:val="false"/>
          <w:i w:val="false"/>
          <w:color w:val="000000"/>
          <w:sz w:val="21"/>
        </w:rPr>
        <w:t xml:space="preserve"> (Notice ARC 7303C,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6.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72C.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