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502</w:t>
      </w:r>
    </w:p>
    <w:p>
      <w:pPr>
        <w:spacing w:before="0" w:after="0"/>
        <w:ind w:left="120"/>
        <w:jc w:val="center"/>
      </w:pPr>
      <w:r>
        <w:rPr>
          <w:rFonts w:ascii="Times New Roman" w:hAnsi="Times New Roman"/>
          <w:b w:val="false"/>
          <w:i w:val="false"/>
          <w:color w:val="000000"/>
          <w:sz w:val="21"/>
        </w:rPr>
        <w:t xml:space="preserve">MODEL RULES FOR USE OF CRIMINAL CONVICTIONS IN ELIGIBILITY DETERMINATIONS AND INITIAL </w:t>
      </w:r>
      <w:r>
        <w:br/>
      </w:r>
      <w:r>
        <w:rPr>
          <w:rFonts w:ascii="Times New Roman" w:hAnsi="Times New Roman"/>
          <w:b w:val="false"/>
          <w:i w:val="false"/>
          <w:color w:val="000000"/>
          <w:sz w:val="21"/>
        </w:rPr>
        <w:t>LICENSING DECISIONS</w:t>
      </w:r>
    </w:p>
    <w:p>
      <w:pPr>
        <w:spacing w:before="0" w:after="0"/>
        <w:ind w:left="120"/>
        <w:jc w:val="center"/>
      </w:pPr>
      <w:r>
        <w:rPr>
          <w:rFonts w:ascii="Times New Roman" w:hAnsi="Times New Roman"/>
          <w:b w:val="false"/>
          <w:i w:val="false"/>
          <w:color w:val="000000"/>
          <w:sz w:val="14"/>
        </w:rPr>
        <w:t>[Prior to 9/18/24, see Professional Licensure Division[645] 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 xml:space="preserve">means a conviction directly related to the duties and responsibilities of the profession pursuant to Iowa Code section </w:t>
      </w:r>
      <w:hyperlink r:id="rId5">
        <w:r>
          <w:rPr>
            <w:rStyle w:val="Hyperlink"/>
            <w:rFonts w:ascii="Times New Roman" w:hAnsi="Times New Roman"/>
            <w:b w:val="false"/>
            <w:i w:val="false"/>
            <w:color w:val="000000"/>
            <w:sz w:val="22"/>
          </w:rPr>
          <w:t>272C.1(8)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registration, or permit issued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481—502.2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License application. </w:t>
      </w:r>
      <w:r>
        <w:rPr>
          <w:rFonts w:ascii="Times New Roman" w:hAnsi="Times New Roman"/>
          <w:b w:val="false"/>
          <w:i w:val="false"/>
          <w:color w:val="000000"/>
          <w:sz w:val="22"/>
        </w:rPr>
        <w:t xml:space="preserve">Unless an applicant for licensure petitions the board for an eligibility determination pursuant to rule </w:t>
      </w:r>
      <w:hyperlink r:id="rId6">
        <w:r>
          <w:rPr>
            <w:rStyle w:val="Hyperlink"/>
            <w:rFonts w:ascii="Times New Roman" w:hAnsi="Times New Roman"/>
            <w:b w:val="false"/>
            <w:i w:val="false"/>
            <w:color w:val="000000"/>
            <w:sz w:val="22"/>
          </w:rPr>
          <w:t>481—502.3</w:t>
        </w:r>
      </w:hyperlink>
      <w:r>
        <w:rPr>
          <w:rFonts w:ascii="Times New Roman" w:hAnsi="Times New Roman"/>
          <w:b w:val="false"/>
          <w:i w:val="false"/>
          <w:color w:val="000000"/>
          <w:sz w:val="22"/>
        </w:rPr>
        <w:t>(272C),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502.2(3)</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all evidence of rehabilitation that the applicant wishes to be considered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7">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502.2(5)</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481—502.3</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not yet submitted a completed license application may petition the board for a determination of whether one or more of the individual’s convictions are disqualifying offenses that would render the individual ineligible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502.3(2)</w:t>
      </w:r>
      <w:r>
        <w:rPr>
          <w:rFonts w:ascii="Times New Roman" w:hAnsi="Times New Roman"/>
          <w:b w:val="false"/>
          <w:i w:val="false"/>
          <w:color w:val="000000"/>
          <w:sz w:val="22"/>
        </w:rPr>
        <w:t> </w:t>
      </w:r>
      <w:r>
        <w:rPr>
          <w:rFonts w:ascii="Times New Roman" w:hAnsi="Times New Roman"/>
          <w:b w:val="false"/>
          <w:i w:val="false"/>
          <w:color w:val="000000"/>
          <w:sz w:val="22"/>
        </w:rPr>
        <w:t>To petition the board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board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481—502.4</w:t>
      </w:r>
      <w:r>
        <w:rPr>
          <w:rFonts w:ascii="Times New Roman" w:hAnsi="Times New Roman"/>
          <w:b/>
          <w:i w:val="false"/>
          <w:color w:val="000000"/>
          <w:sz w:val="22"/>
        </w:rPr>
        <w:t xml:space="preserve">(272C) </w:t>
      </w:r>
      <w:r>
        <w:rPr>
          <w:rFonts w:ascii="Times New Roman" w:hAnsi="Times New Roman"/>
          <w:b/>
          <w:i w:val="false"/>
          <w:color w:val="000000"/>
          <w:sz w:val="22"/>
        </w:rPr>
        <w:t xml:space="preserve">Appeal. </w:t>
      </w:r>
      <w:r>
        <w:rPr>
          <w:rFonts w:ascii="Times New Roman" w:hAnsi="Times New Roman"/>
          <w:b w:val="false"/>
          <w:i w:val="false"/>
          <w:color w:val="000000"/>
          <w:sz w:val="22"/>
        </w:rPr>
        <w:t>A petitioner deemed ineligible or an applicant denied a license due to a disqualifying offense may appeal the decision in the manner and time frame set forth in the board’s written decision. A timely appeal will initiate a nondisciplinary contested case proceeding. The board’s rules governing contested case proceedings will apply unless otherwise specified in this rule. If the petitioner or applicant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board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502.4(2)</w:t>
      </w:r>
      <w:r>
        <w:rPr>
          <w:rFonts w:ascii="Times New Roman" w:hAnsi="Times New Roman"/>
          <w:b w:val="false"/>
          <w:i w:val="false"/>
          <w:color w:val="000000"/>
          <w:sz w:val="22"/>
        </w:rPr>
        <w:t> </w:t>
      </w:r>
      <w:r>
        <w:rPr>
          <w:rFonts w:ascii="Times New Roman" w:hAnsi="Times New Roman"/>
          <w:b w:val="false"/>
          <w:i w:val="false"/>
          <w:color w:val="000000"/>
          <w:sz w:val="22"/>
        </w:rPr>
        <w:t>The contested case hearing shall be closed to the public, and the board’s review of a proposed decision shall occur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502.4(3)</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shall represent the board’s initial ineligibility determination or license denial and shall have the burden of proof to establish that the petitioner or applicant’s convictions include at least one disqualifying offense. Upon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502.4(4)</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must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shall be in accordance with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481—502.5</w:t>
      </w:r>
      <w:r>
        <w:rPr>
          <w:rFonts w:ascii="Times New Roman" w:hAnsi="Times New Roman"/>
          <w:b/>
          <w:i w:val="false"/>
          <w:color w:val="000000"/>
          <w:sz w:val="22"/>
        </w:rPr>
        <w:t xml:space="preserve">(272C) </w:t>
      </w:r>
      <w:r>
        <w:rPr>
          <w:rFonts w:ascii="Times New Roman" w:hAnsi="Times New Roman"/>
          <w:b/>
          <w:i w:val="false"/>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8082C</w:t>
      </w:r>
      <w:r>
        <w:rPr>
          <w:rFonts w:ascii="Times New Roman" w:hAnsi="Times New Roman"/>
          <w:b w:val="false"/>
          <w:i w:val="false"/>
          <w:color w:val="000000"/>
          <w:sz w:val="21"/>
        </w:rPr>
        <w:t xml:space="preserve"> (Notice ARC 7311C,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pdf" Type="http://schemas.openxmlformats.org/officeDocument/2006/relationships/hyperlink" Id="rId5"/>
    <Relationship TargetMode="External" Target="https://www.legis.iowa.gov/docs/iac/rule/481.502.3.pdf" Type="http://schemas.openxmlformats.org/officeDocument/2006/relationships/hyperlink" Id="rId6"/>
    <Relationship TargetMode="External" Target="https://www.legis.iowa.gov/docs/ico/chapter/272C.15.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