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501</w:t>
      </w:r>
    </w:p>
    <w:p>
      <w:pPr>
        <w:spacing w:before="0" w:after="0"/>
        <w:ind w:left="120"/>
        <w:jc w:val="center"/>
      </w:pPr>
      <w:r>
        <w:rPr>
          <w:rFonts w:ascii="Times New Roman" w:hAnsi="Times New Roman"/>
          <w:b w:val="false"/>
          <w:i w:val="false"/>
          <w:color w:val="000000"/>
          <w:sz w:val="21"/>
        </w:rPr>
        <w:t xml:space="preserve"> MODEL RULES FOR LICENSURE BY VERIFICATION OR WORK EXPERIENCE</w:t>
      </w:r>
    </w:p>
    <w:p>
      <w:pPr>
        <w:spacing w:before="0" w:after="0"/>
        <w:ind w:left="120"/>
        <w:jc w:val="center"/>
      </w:pPr>
      <w:r>
        <w:rPr>
          <w:rFonts w:ascii="Times New Roman" w:hAnsi="Times New Roman"/>
          <w:b w:val="false"/>
          <w:i w:val="false"/>
          <w:color w:val="000000"/>
          <w:sz w:val="14"/>
        </w:rPr>
        <w:t>[Prior to 9/18/24, see Professional Licensure Division[645] Ch 19]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7/31/29</w:t>
      </w:r>
    </w:p>
    <w:p>
      <w:pPr>
        <w:spacing w:before="0" w:after="0"/>
        <w:ind w:left="120"/>
        <w:jc w:val="both"/>
      </w:pPr>
      <w:r>
        <w:rPr>
          <w:rFonts w:ascii="Times New Roman" w:hAnsi="Times New Roman"/>
          <w:b/>
          <w:i w:val="false"/>
          <w:color w:val="000000"/>
          <w:sz w:val="22"/>
        </w:rPr>
        <w:t>481—501.1</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Licensure by verification is available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person may seek licensure by verification if the person is licensed in at least one other jurisdiction that has a scope of practice substantially similar to that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501.1(2)</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The applicant must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Completed fingerprint cards and a signed waiver form to facilitate a national criminal history background check, if required for initial licensure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attestation that the applicant’s license in that jurisdiction complies with the requirements of Iowa Code section </w:t>
      </w:r>
      <w:hyperlink r:id="rId5">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complete criminal record if the applicant has a criminal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relevant disciplinary documents if another jurisdiction has taken disciplinary action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written statement from the applicant detailing the scope of practice in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Copies of relevant laws setting forth the scope of practice in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501.1(3)</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prior discipline. </w:t>
      </w:r>
      <w:r>
        <w:rPr>
          <w:rFonts w:ascii="Times New Roman" w:hAnsi="Times New Roman"/>
          <w:b w:val="false"/>
          <w:i w:val="false"/>
          <w:color w:val="000000"/>
          <w:sz w:val="22"/>
        </w:rPr>
        <w:t>If another jurisdiction has taken disciplinary action against an applicant, the board will determine whether the cause for the disciplinary action has been corrected and the matter has been resolved. If the board determines the disciplinary matter has not been resolved, the board will neither issue a license nor deny the application for licensure until the matter is resolved. A person who has had a license revoked, or who has voluntarily surrendered a license, in another jurisdiction is ineligible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501.1(4)</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pending licensing complaints or investigations. </w:t>
      </w:r>
      <w:r>
        <w:rPr>
          <w:rFonts w:ascii="Times New Roman" w:hAnsi="Times New Roman"/>
          <w:b w:val="false"/>
          <w:i w:val="false"/>
          <w:color w:val="000000"/>
          <w:sz w:val="22"/>
        </w:rPr>
        <w:t>If an applicant is currently the subject of a complaint, allegation, or investigation relating to unprofessional conduct pending before any regulating entity in another jurisdiction, the board will neither issue a license nor deny the application for licensure until the complaint, allegation, or investigation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501.1(5)</w:t>
      </w:r>
      <w:r>
        <w:rPr>
          <w:rFonts w:ascii="Times New Roman" w:hAnsi="Times New Roman"/>
          <w:b w:val="false"/>
          <w:i w:val="false"/>
          <w:color w:val="000000"/>
          <w:sz w:val="22"/>
        </w:rPr>
        <w:t> </w:t>
      </w:r>
      <w:r>
        <w:rPr>
          <w:rFonts w:ascii="Times New Roman" w:hAnsi="Times New Roman"/>
          <w:b w:val="false"/>
          <w:i/>
          <w:color w:val="000000"/>
          <w:sz w:val="22"/>
        </w:rPr>
        <w:t xml:space="preserve">Compact privileges. </w:t>
      </w:r>
      <w:r>
        <w:rPr>
          <w:rFonts w:ascii="Times New Roman" w:hAnsi="Times New Roman"/>
          <w:b w:val="false"/>
          <w:i w:val="false"/>
          <w:color w:val="000000"/>
          <w:sz w:val="22"/>
        </w:rPr>
        <w:t>A person who has a privilege to practice in Iowa by virtue of an interstate licensure compact is ineligible for licensure by verification. Licenses issued pursuant to this rule do not grant privileges to practice in any other jurisdiction pursuant to any interstate licensure compact.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481—501.2</w:t>
      </w:r>
      <w:r>
        <w:rPr>
          <w:rFonts w:ascii="Times New Roman" w:hAnsi="Times New Roman"/>
          <w:b/>
          <w:i w:val="false"/>
          <w:color w:val="000000"/>
          <w:sz w:val="22"/>
        </w:rPr>
        <w:t xml:space="preserve">(272C) </w:t>
      </w:r>
      <w:r>
        <w:rPr>
          <w:rFonts w:ascii="Times New Roman" w:hAnsi="Times New Roman"/>
          <w:b/>
          <w:i w:val="false"/>
          <w:color w:val="000000"/>
          <w:sz w:val="22"/>
        </w:rPr>
        <w:t xml:space="preserve">Applicants with work experience in jurisdictions without licensure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501.2(1)</w:t>
      </w:r>
      <w:r>
        <w:rPr>
          <w:rFonts w:ascii="Times New Roman" w:hAnsi="Times New Roman"/>
          <w:b w:val="false"/>
          <w:i w:val="false"/>
          <w:color w:val="000000"/>
          <w:sz w:val="22"/>
        </w:rPr>
        <w:t> </w:t>
      </w:r>
      <w:r>
        <w:rPr>
          <w:rFonts w:ascii="Times New Roman" w:hAnsi="Times New Roman"/>
          <w:b w:val="false"/>
          <w:i/>
          <w:color w:val="000000"/>
          <w:sz w:val="22"/>
        </w:rPr>
        <w:t xml:space="preserve">Work experience. </w:t>
      </w:r>
      <w:r>
        <w:rPr>
          <w:rFonts w:ascii="Times New Roman" w:hAnsi="Times New Roman"/>
          <w:b w:val="false"/>
          <w:i w:val="false"/>
          <w:color w:val="000000"/>
          <w:sz w:val="22"/>
        </w:rPr>
        <w:t>An applicant for initial licensure who has relocated to Iowa from another jurisdiction that did not require a professional license to practice in the profession may be considered to have met any educational and training requirements if the person has at least three years of work experience with a scope of practice substantially similar to that of the profession for which a license in Iowa is sought. The three years of work experience must be within the four years preceding the date of application for initial licensure. The applicant must satisfy all other requirements, including passing any required examinations, to receive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501.2(2)</w:t>
      </w:r>
      <w:r>
        <w:rPr>
          <w:rFonts w:ascii="Times New Roman" w:hAnsi="Times New Roman"/>
          <w:b w:val="false"/>
          <w:i w:val="false"/>
          <w:color w:val="000000"/>
          <w:sz w:val="22"/>
        </w:rPr>
        <w:t> </w:t>
      </w:r>
      <w:r>
        <w:rPr>
          <w:rFonts w:ascii="Times New Roman" w:hAnsi="Times New Roman"/>
          <w:b w:val="false"/>
          <w:i/>
          <w:color w:val="000000"/>
          <w:sz w:val="22"/>
        </w:rPr>
        <w:t xml:space="preserve">Required documentation. </w:t>
      </w:r>
      <w:r>
        <w:rPr>
          <w:rFonts w:ascii="Times New Roman" w:hAnsi="Times New Roman"/>
          <w:b w:val="false"/>
          <w:i w:val="false"/>
          <w:color w:val="000000"/>
          <w:sz w:val="22"/>
        </w:rPr>
        <w:t>An applicant who wishes to substitute work experience in lieu of satisfying applicable education or training requirements shall carry the burden of proving all of the following by submitting relevant documents as part of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Iowa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three or more years of work experience within the four years preceding the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the work experience was in a practice with a scope of practice substantially similar to that for which the license is sought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5751C</w:t>
      </w:r>
      <w:r>
        <w:rPr>
          <w:rFonts w:ascii="Times New Roman" w:hAnsi="Times New Roman"/>
          <w:b w:val="false"/>
          <w:i w:val="false"/>
          <w:color w:val="000000"/>
          <w:sz w:val="21"/>
        </w:rPr>
        <w:t xml:space="preserve"> (Notice ARC 5367C, IAB 12/30/20)</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7013C</w:t>
      </w:r>
      <w:r>
        <w:rPr>
          <w:rFonts w:ascii="Times New Roman" w:hAnsi="Times New Roman"/>
          <w:b w:val="false"/>
          <w:i w:val="false"/>
          <w:color w:val="000000"/>
          <w:sz w:val="21"/>
        </w:rPr>
        <w:t xml:space="preserve"> (Notice ARC 6943C, IAB 3/8/23)</w:t>
      </w:r>
      <w:r>
        <w:rPr>
          <w:rFonts w:ascii="Times New Roman" w:hAnsi="Times New Roman"/>
          <w:b w:val="false"/>
          <w:i w:val="false"/>
          <w:color w:val="000000"/>
          <w:sz w:val="21"/>
        </w:rPr>
        <w:t>, IAB 5/17/23, effective 6/21/23]</w:t>
      </w:r>
    </w:p>
    <w:p>
      <w:pPr>
        <w:spacing w:before="0" w:after="0"/>
        <w:ind w:left="120"/>
        <w:jc w:val="center"/>
      </w:pPr>
      <w:r>
        <w:rPr>
          <w:rFonts w:ascii="Times New Roman" w:hAnsi="Times New Roman"/>
          <w:b w:val="false"/>
          <w:i w:val="false"/>
          <w:color w:val="000000"/>
          <w:sz w:val="21"/>
        </w:rPr>
        <w:t>[Filed ARC 8083C</w:t>
      </w:r>
      <w:r>
        <w:rPr>
          <w:rFonts w:ascii="Times New Roman" w:hAnsi="Times New Roman"/>
          <w:b w:val="false"/>
          <w:i w:val="false"/>
          <w:color w:val="000000"/>
          <w:sz w:val="21"/>
        </w:rPr>
        <w:t xml:space="preserve"> (Notice ARC 7310C,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12.pdf" Type="http://schemas.openxmlformats.org/officeDocument/2006/relationships/hyperlink" Id="rId5"/>
    <Relationship TargetMode="External" Target="https://www.legis.iowa.gov/docs/ico/chapter/272C.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