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MODEL RULES GOVERNING PROFESSIONAL LICENSING DIVISION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MODEL RULES FOR BOARD ADMINISTRATIVE PROCESSES</w:t>
      </w:r>
    </w:p>
    <w:p>
      <w:pPr>
        <w:spacing w:before="0" w:after="0"/>
        <w:ind w:left="120"/>
        <w:jc w:val="center"/>
      </w:pPr>
      <w:r>
        <w:rPr>
          <w:rFonts w:ascii="Times New Roman" w:hAnsi="Times New Roman"/>
          <w:b w:val="false"/>
          <w:i w:val="false"/>
          <w:color w:val="000000"/>
          <w:sz w:val="14"/>
        </w:rPr>
        <w:t>[Prior to 9/18/24, see Professional Licensure Division[645]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to practice the specific practice governed by one of the boards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the specific practice governed by one of the boards defined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each professional licensing board is to administer and enforce the provisions of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the practice-specific provisions in Iowa Code chapters </w:t>
      </w:r>
      <w:hyperlink r:id="rId9">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applicable to each board. The mission of each professional licensing board is to protect the public health, safety and welfare by licensing qualified individuals who provide services to consumers and by fair and consistent enforcement of the statutes and rules of each board. Responsibilities of each professional licensing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val="false"/>
          <w:color w:val="000000"/>
          <w:sz w:val="22"/>
        </w:rPr>
        <w:t>Licensing qualified applicants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licensing board is composed of members appointed by the governor and confirmed by the senate as defined in Iowa Code chapter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Each board elects a chairperson and vice chairperson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each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2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Each professional licensing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continuing education rules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if the board votes to do so in a public roll-call vote with an affirmative vote of at least two-thirds if the total board is present or a unanimous vote if fewer are present. The board shall keep minutes of all discussion, persons present, and action occurring at a closed session. The records shall be stored securely in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alleged violations of statutes or rules that relate to the practice of licensees upon receipt of a complaint or upon the board’s own initiation.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licenses that are restricted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and register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complaints to one or more registered peer reviewers for investigation and review. The peer reviewers will review cases and recommend appropriate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481—500.4</w:t>
      </w:r>
      <w:r>
        <w:rPr>
          <w:rFonts w:ascii="Times New Roman" w:hAnsi="Times New Roman"/>
          <w:b/>
          <w:i w:val="false"/>
          <w:color w:val="000000"/>
          <w:sz w:val="22"/>
        </w:rPr>
        <w:t xml:space="preserve">(17A) </w:t>
      </w:r>
      <w:r>
        <w:rPr>
          <w:rFonts w:ascii="Times New Roman" w:hAnsi="Times New Roman"/>
          <w:b/>
          <w:i w:val="false"/>
          <w:color w:val="000000"/>
          <w:sz w:val="22"/>
        </w:rPr>
        <w:t xml:space="preserve">Name and address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Notice of change of address. Each licensee shall notify the board of a change of the licensee’s current mailing address within 30 days after the change of address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Each licensee shall notify the board in writing of a change of name within 30 days after changing the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481—500.5</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w:t>
      </w:r>
      <w:r>
        <w:rPr>
          <w:rFonts w:ascii="Times New Roman" w:hAnsi="Times New Roman"/>
          <w:b w:val="false"/>
          <w:i w:val="false"/>
          <w:color w:val="000000"/>
          <w:sz w:val="22"/>
        </w:rPr>
        <w:t>A duplicate certificate is required if the current certificate is lost, stolen or destroyed. Duplicate certificates may be purchased online.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When the board denies an applicant licensure, the board shall notify the applicant of the denial in writing and cite the reasons for which the application was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licensure by the board may appeal the denial and request a hearing by submitting a request in writing within 30 days following the date of mailing of the notification of licensure denial to the applicant. The request for hearing shall specifically describe the facts to be contested and determined at the hearing. The hearing and subsequent procedures will be held pursuant to the process outlined in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481—500.7</w:t>
      </w:r>
      <w:r>
        <w:rPr>
          <w:rFonts w:ascii="Times New Roman" w:hAnsi="Times New Roman"/>
          <w:b/>
          <w:i w:val="false"/>
          <w:color w:val="000000"/>
          <w:sz w:val="22"/>
        </w:rPr>
        <w:t xml:space="preserve">(272C) </w:t>
      </w:r>
      <w:r>
        <w:rPr>
          <w:rFonts w:ascii="Times New Roman" w:hAnsi="Times New Roman"/>
          <w:b/>
          <w:i w:val="false"/>
          <w:color w:val="000000"/>
          <w:sz w:val="22"/>
        </w:rPr>
        <w:t xml:space="preserve">Audit of continuing education. </w:t>
      </w:r>
      <w:r>
        <w:rPr>
          <w:rFonts w:ascii="Times New Roman" w:hAnsi="Times New Roman"/>
          <w:b w:val="false"/>
          <w:i w:val="false"/>
          <w:color w:val="000000"/>
          <w:sz w:val="22"/>
        </w:rPr>
        <w:t>The board may select licensees for audit following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If selected for audit, the licensee will provide certificates of completion of continuing education within 30 days of notice. The documents will contain the course date, title, contact hours, sponsor and licensee’s name. An extension of time may be granted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All licensees must retain continuing education certificates for two years after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submitted certificates are incomplete or unsatisfactory, the licensee may submit make-up credit to cover the deficit. The deadline for make-up credit is 90 days from the date of the notice of deficit.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481—500.8</w:t>
      </w:r>
      <w:r>
        <w:rPr>
          <w:rFonts w:ascii="Times New Roman" w:hAnsi="Times New Roman"/>
          <w:b/>
          <w:i w:val="false"/>
          <w:color w:val="000000"/>
          <w:sz w:val="22"/>
        </w:rPr>
        <w:t xml:space="preserve">(272C,83GA,SF2325)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A licensee is exempt from the continuing education requirement during the license biennium when the licensee: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Resided in another state or district having continuing education requirements;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481—500.9</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exemption for disability or illness. </w:t>
      </w:r>
      <w:r>
        <w:rPr>
          <w:rFonts w:ascii="Times New Roman" w:hAnsi="Times New Roman"/>
          <w:b w:val="false"/>
          <w:i w:val="false"/>
          <w:color w:val="000000"/>
          <w:sz w:val="22"/>
        </w:rPr>
        <w:t xml:space="preserve">A licensee who has had a physical or mental disability or illness during the license period may apply for an exemption providing an extension of time or exemption from some or all of the continuing education requirements. An applicant shall submit a completed application form approved by the board for an exemption. If the application is from a licensee who is the primary caregiver for a relative who is ill or disabled and needs care from that primary caregiver, the physician shall verify the licensee’s status as the primary caregiver. A licensee who applies for an exemption shall be notified of the decision regarding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extension of time to fulfill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500.9(2)</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continuing education requirement for any period of time not to exceed two calendar years. If the physical or mental disability or illness for which an extension or exemption was granted continues beyond the period initially approved by the board,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500.9(3)</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licensee to make up a portion of the continuing education requirement in the manner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481—500.10</w:t>
      </w:r>
      <w:r>
        <w:rPr>
          <w:rFonts w:ascii="Times New Roman" w:hAnsi="Times New Roman"/>
          <w:b/>
          <w:i w:val="false"/>
          <w:color w:val="000000"/>
          <w:sz w:val="22"/>
        </w:rPr>
        <w:t xml:space="preserve">(147,272C) </w:t>
      </w:r>
      <w:r>
        <w:rPr>
          <w:rFonts w:ascii="Times New Roman" w:hAnsi="Times New Roman"/>
          <w:b/>
          <w:i w:val="false"/>
          <w:color w:val="000000"/>
          <w:sz w:val="22"/>
        </w:rPr>
        <w:t xml:space="preserve">Order for physical, mental, substance abuse or clinical competency examination. </w:t>
      </w:r>
      <w:r>
        <w:rPr>
          <w:rFonts w:ascii="Times New Roman" w:hAnsi="Times New Roman"/>
          <w:b w:val="false"/>
          <w:i w:val="false"/>
          <w:color w:val="000000"/>
          <w:sz w:val="22"/>
        </w:rPr>
        <w:t>If the board has probable cause, a licensee may be required to submit to a physical, mental, substance abuse or clinical competency examination at the licensee’s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for a physical, mental, substance abuse or clinical competency examination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time the licensee has to complete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licensee is to sign necessary releases for the board to communicate with the examiner of the evaluation or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is to communicate with the board regarding the status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will have the examiner provide the examination results directly to the board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examination order, the licensee may request additional time to schedule or complete the examination or may request that the board approve an alternative examiner or treatment facility. The board in its discretion shall determine whether to grant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order and who objects to the order may file a request for hearing. The request for hearing must be filed within 30 days of the date of the examination order, and the request for hearing shall specifically identify the factual and legal issues upon which the licensee bases the objection. A licensee who fails to timely file a request for hearing to object to an examination order waives any future objection to the examination order in the event formal disciplinary charges are filed for failure to comply with the examination order or on any other grounds. The hearing shall be considered a contested case proceeding and shall be governed by the provisions of </w:t>
      </w:r>
      <w:hyperlink r:id="rId3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On judicial review of a board decision in a contested case involving an objection to an examination order, the case will be captioned to maintain the licensee’s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examination order shall be closed pursuant to Iowa Code section </w:t>
      </w:r>
      <w:hyperlink r:id="rId3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examination order and any subsequent examination reports issued in the course of a board investigation are confidential investigative information pursuant to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regarding the examination order shall be provided to the licensee in the event the licensee files an objection, under </w:t>
      </w:r>
      <w:hyperlink r:id="rId35">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500.15(3)</w:t>
      </w:r>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shall be waived as to the admissibility of the examining physicians’ or health care providers’ testimony or examination reports on the grounds that they constitute privileged communication. The medical testimony or examination reports shall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physical, mental, substance abuse or clinical competency examination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Noncompliance rules regarding child support and nonpayment of state debt. </w:t>
      </w:r>
      <w:r>
        <w:rPr>
          <w:rFonts w:ascii="Times New Roman" w:hAnsi="Times New Roman"/>
          <w:b w:val="false"/>
          <w:i w:val="false"/>
          <w:color w:val="000000"/>
          <w:sz w:val="22"/>
        </w:rPr>
        <w:t>The board hereby adopts by reference 481—Chapter 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[Filed ARC 7586B</w:t>
      </w:r>
      <w:r>
        <w:rPr>
          <w:rFonts w:ascii="Times New Roman" w:hAnsi="Times New Roman"/>
          <w:b w:val="false"/>
          <w:i w:val="false"/>
          <w:color w:val="000000"/>
          <w:sz w:val="21"/>
        </w:rPr>
        <w:t xml:space="preserve"> (Notice ARC 7165B, IAB 9/24/08)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8706B</w:t>
      </w:r>
      <w:r>
        <w:rPr>
          <w:rFonts w:ascii="Times New Roman" w:hAnsi="Times New Roman"/>
          <w:b w:val="false"/>
          <w:i w:val="false"/>
          <w:color w:val="000000"/>
          <w:sz w:val="21"/>
        </w:rPr>
        <w:t xml:space="preserve"> (Notice ARC 8334B, IAB 12/2/09)</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9171B</w:t>
      </w:r>
      <w:r>
        <w:rPr>
          <w:rFonts w:ascii="Times New Roman" w:hAnsi="Times New Roman"/>
          <w:b w:val="false"/>
          <w:i w:val="false"/>
          <w:color w:val="000000"/>
          <w:sz w:val="21"/>
        </w:rPr>
        <w:t xml:space="preserve"> (Notice ARC 8784B,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9768B</w:t>
      </w:r>
      <w:r>
        <w:rPr>
          <w:rFonts w:ascii="Times New Roman" w:hAnsi="Times New Roman"/>
          <w:b w:val="false"/>
          <w:i w:val="false"/>
          <w:color w:val="000000"/>
          <w:sz w:val="21"/>
        </w:rPr>
        <w:t xml:space="preserve"> (Notice ARC 9459B, IAB 4/20/11)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5189C</w:t>
      </w:r>
      <w:r>
        <w:rPr>
          <w:rFonts w:ascii="Times New Roman" w:hAnsi="Times New Roman"/>
          <w:b w:val="false"/>
          <w:i w:val="false"/>
          <w:color w:val="000000"/>
          <w:sz w:val="21"/>
        </w:rPr>
        <w:t xml:space="preserve"> (Notice ARC 4963C, IAB 3/11/20)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8077C</w:t>
      </w:r>
      <w:r>
        <w:rPr>
          <w:rFonts w:ascii="Times New Roman" w:hAnsi="Times New Roman"/>
          <w:b w:val="false"/>
          <w:i w:val="false"/>
          <w:color w:val="000000"/>
          <w:sz w:val="21"/>
        </w:rPr>
        <w:t xml:space="preserve"> (Notice ARC 7297C,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11/26/25]</w:t>
      </w:r>
    </w:p>
    <w:sectPr>
      <w:footerReference r:id="rId4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8A.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49.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co/chapter/152A.pdf" Type="http://schemas.openxmlformats.org/officeDocument/2006/relationships/hyperlink" Id="rId14"/>
    <Relationship TargetMode="External" Target="https://www.legis.iowa.gov/docs/ico/chapter/152B.pdf" Type="http://schemas.openxmlformats.org/officeDocument/2006/relationships/hyperlink" Id="rId15"/>
    <Relationship TargetMode="External" Target="https://www.legis.iowa.gov/docs/ico/chapter/152C.pdf" Type="http://schemas.openxmlformats.org/officeDocument/2006/relationships/hyperlink" Id="rId16"/>
    <Relationship TargetMode="External" Target="https://www.legis.iowa.gov/docs/ico/chapter/152D.pdf" Type="http://schemas.openxmlformats.org/officeDocument/2006/relationships/hyperlink" Id="rId17"/>
    <Relationship TargetMode="External" Target="https://www.legis.iowa.gov/docs/ico/chapter/154.pdf" Type="http://schemas.openxmlformats.org/officeDocument/2006/relationships/hyperlink" Id="rId18"/>
    <Relationship TargetMode="External" Target="https://www.legis.iowa.gov/docs/ico/chapter/154A.pdf" Type="http://schemas.openxmlformats.org/officeDocument/2006/relationships/hyperlink" Id="rId19"/>
    <Relationship TargetMode="External" Target="https://www.legis.iowa.gov/docs/ico/chapter/154B.pdf" Type="http://schemas.openxmlformats.org/officeDocument/2006/relationships/hyperlink" Id="rId20"/>
    <Relationship TargetMode="External" Target="https://www.legis.iowa.gov/docs/ico/chapter/154C.pdf" Type="http://schemas.openxmlformats.org/officeDocument/2006/relationships/hyperlink" Id="rId21"/>
    <Relationship TargetMode="External" Target="https://www.legis.iowa.gov/docs/ico/chapter/154D.pdf" Type="http://schemas.openxmlformats.org/officeDocument/2006/relationships/hyperlink" Id="rId22"/>
    <Relationship TargetMode="External" Target="https://www.legis.iowa.gov/docs/ico/chapter/154E.pdf" Type="http://schemas.openxmlformats.org/officeDocument/2006/relationships/hyperlink" Id="rId23"/>
    <Relationship TargetMode="External" Target="https://www.legis.iowa.gov/docs/ico/chapter/155.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157.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272C.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ac/chapter/481.50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ac/rule/645.4.15.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1.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272C.pdf" Type="http://schemas.openxmlformats.org/officeDocument/2006/relationships/hyperlink" Id="rId40"/>
    <Relationship TargetMode="External" Target="https://www.legis.iowa.gov/docs/ico/chapter/272D.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