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469</w:t>
      </w:r>
    </w:p>
    <w:p>
      <w:pPr>
        <w:spacing w:before="0" w:after="0"/>
        <w:ind w:left="120"/>
        <w:jc w:val="center"/>
      </w:pPr>
      <w:r>
        <w:rPr>
          <w:rFonts w:ascii="Times New Roman" w:hAnsi="Times New Roman"/>
          <w:b w:val="false"/>
          <w:i w:val="false"/>
          <w:color w:val="000000"/>
          <w:sz w:val="21"/>
        </w:rPr>
        <w:t xml:space="preserve">RENOVATION, REMODELING, AND REPAINTING—LEAD </w:t>
      </w:r>
      <w:r>
        <w:br/>
      </w:r>
      <w:r>
        <w:rPr>
          <w:rFonts w:ascii="Times New Roman" w:hAnsi="Times New Roman"/>
          <w:b w:val="false"/>
          <w:i w:val="false"/>
          <w:color w:val="000000"/>
          <w:sz w:val="21"/>
        </w:rPr>
        <w:t>HAZARD NOTIFICATION PROCESS</w:t>
      </w:r>
    </w:p>
    <w:p>
      <w:pPr>
        <w:spacing w:before="0" w:after="0"/>
        <w:ind w:left="120"/>
        <w:jc w:val="center"/>
      </w:pPr>
      <w:r>
        <w:rPr>
          <w:rFonts w:ascii="Times New Roman" w:hAnsi="Times New Roman"/>
          <w:b w:val="false"/>
          <w:i w:val="false"/>
          <w:color w:val="000000"/>
          <w:sz w:val="20"/>
        </w:rPr>
        <w:t>[Prior to 4/2/25, see Public Health Department[641]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481—469.1</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perform renovation, remodeling, or repainting for compensation in target housing or a child-occupied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“Arithmetic mean”</w:t>
      </w:r>
      <w:r>
        <w:rPr>
          <w:rFonts w:ascii="Times New Roman" w:hAnsi="Times New Roman"/>
          <w:b w:val="false"/>
          <w:i w:val="false"/>
          <w:color w:val="000000"/>
          <w:sz w:val="22"/>
        </w:rPr>
        <w:t> </w:t>
      </w:r>
      <w:r>
        <w:rPr>
          <w:rFonts w:ascii="Times New Roman" w:hAnsi="Times New Roman"/>
          <w:b w:val="false"/>
          <w:i w:val="false"/>
          <w:color w:val="000000"/>
          <w:sz w:val="22"/>
        </w:rPr>
        <w:t>means the algebraic sum of data values divided by the number of data values. For example, the sum of the concentration of lead in several soil samples divided by the number of samples is the arithmetic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mailing”</w:t>
      </w:r>
      <w:r>
        <w:rPr>
          <w:rFonts w:ascii="Times New Roman" w:hAnsi="Times New Roman"/>
          <w:b w:val="false"/>
          <w:i w:val="false"/>
          <w:color w:val="000000"/>
          <w:sz w:val="22"/>
        </w:rPr>
        <w:t> </w:t>
      </w:r>
      <w:r>
        <w:rPr>
          <w:rFonts w:ascii="Times New Roman" w:hAnsi="Times New Roman"/>
          <w:b w:val="false"/>
          <w:i w:val="false"/>
          <w:color w:val="000000"/>
          <w:sz w:val="22"/>
        </w:rPr>
        <w:t>means certified mail with return receipt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“Chewable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painted with lead-based paint that a young child can mouth or chew.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“Child-occupied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area”</w:t>
      </w:r>
      <w:r>
        <w:rPr>
          <w:rFonts w:ascii="Times New Roman" w:hAnsi="Times New Roman"/>
          <w:b w:val="false"/>
          <w:i w:val="false"/>
          <w:color w:val="000000"/>
          <w:sz w:val="22"/>
        </w:rPr>
        <w:t>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payment or reimbursement for services performed. Compensation is not limited to monetary considerations and includes payment of rent for rental units, receipt of a salary from the owner or manager of target housing, and receipt of a salary from the owner or operator of a child-occupied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“Components”</w:t>
      </w:r>
      <w:r>
        <w:rPr>
          <w:rFonts w:ascii="Times New Roman" w:hAnsi="Times New Roman"/>
          <w:b w:val="false"/>
          <w:i w:val="false"/>
          <w:color w:val="000000"/>
          <w:sz w:val="22"/>
        </w:rPr>
        <w:t>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facias, rake boards, corner boards, bulkheads, doors and door trim, fences, floors, joists, latticework, railings and railing caps, siding, handrails, stair risers and treads, stair stringers, columns, balustrades, windowsills or stools and troughs, casing, sashes and wells, and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“Dripline”</w:t>
      </w:r>
      <w:r>
        <w:rPr>
          <w:rFonts w:ascii="Times New Roman" w:hAnsi="Times New Roman"/>
          <w:b w:val="false"/>
          <w:i w:val="false"/>
          <w:color w:val="000000"/>
          <w:sz w:val="22"/>
        </w:rPr>
        <w:t>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“Dust-lead hazard”</w:t>
      </w:r>
      <w:r>
        <w:rPr>
          <w:rFonts w:ascii="Times New Roman" w:hAnsi="Times New Roman"/>
          <w:b w:val="false"/>
          <w:i w:val="false"/>
          <w:color w:val="000000"/>
          <w:sz w:val="22"/>
        </w:rPr>
        <w:t> </w:t>
      </w:r>
      <w:r>
        <w:rPr>
          <w:rFonts w:ascii="Times New Roman" w:hAnsi="Times New Roman"/>
          <w:b w:val="false"/>
          <w:i w:val="false"/>
          <w:color w:val="000000"/>
          <w:sz w:val="22"/>
        </w:rPr>
        <w:t>means surface dust in residential dwellings or child-occupied facilities that contains a mass-per-area concentration of lead equal to or exceeding 5 micrograms per square foot on floors, 40 micrograms per square foot on interior windowsills, and 100 micrograms per square foot on window troughs based on wipe samples. A dust-lead hazard is present in a residential dwelling or child-occupied facility when the weighted arithmetic mean lead loading for all single-surface or composite samples of floors and interior windowsills is equal to or greater than 5 micrograms per square foot on floors, 40 micrograms per square foot on interior windowsills, and 100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unified combination of rooms designed for use as a dwelling by one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renovation, remodeling, or repainting”</w:t>
      </w:r>
      <w:r>
        <w:rPr>
          <w:rFonts w:ascii="Times New Roman" w:hAnsi="Times New Roman"/>
          <w:b w:val="false"/>
          <w:i w:val="false"/>
          <w:color w:val="000000"/>
          <w:sz w:val="22"/>
        </w:rPr>
        <w:t> </w:t>
      </w:r>
      <w:r>
        <w:rPr>
          <w:rFonts w:ascii="Times New Roman" w:hAnsi="Times New Roman"/>
          <w:b w:val="false"/>
          <w:i w:val="false"/>
          <w:color w:val="000000"/>
          <w:sz w:val="22"/>
        </w:rPr>
        <w:t>means renovation, remodeling, or repainting activities necessitated by nonroutine failures of equipment or a structure that were not planned but resulted from a sudden, unexpected event that, if not immediately attended to, presents a safety or public health hazard or threatens equipment or property with significant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“Friction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lead-based paint”</w:t>
      </w:r>
      <w:r>
        <w:rPr>
          <w:rFonts w:ascii="Times New Roman" w:hAnsi="Times New Roman"/>
          <w:b w:val="false"/>
          <w:i w:val="false"/>
          <w:color w:val="000000"/>
          <w:sz w:val="22"/>
        </w:rPr>
        <w: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equal to or greater than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“Housing for the elderly”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retirement communities or similar types of housing reserved for households composed of one or more persons 62 years of age or older or an age recognized as elderly by a specific federal housing assistance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“Impact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w:t>
      </w:r>
      <w:r>
        <w:rPr>
          <w:rFonts w:ascii="Times New Roman" w:hAnsi="Times New Roman"/>
          <w:b w:val="false"/>
          <w:i w:val="false"/>
          <w:color w:val="000000"/>
          <w:sz w:val="22"/>
        </w:rPr>
        <w:t> </w:t>
      </w:r>
      <w:r>
        <w:rPr>
          <w:rFonts w:ascii="Times New Roman" w:hAnsi="Times New Roman"/>
          <w:b w:val="false"/>
          <w:i w:val="false"/>
          <w:color w:val="000000"/>
          <w:sz w:val="22"/>
        </w:rPr>
        <w:t>means paint or other surface coatings that contain lead equal to or in excess of 1.0 milligram per square centimeter or more than 0.5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hazard”</w:t>
      </w:r>
      <w:r>
        <w:rPr>
          <w:rFonts w:ascii="Times New Roman" w:hAnsi="Times New Roman"/>
          <w:b w:val="false"/>
          <w:i w:val="false"/>
          <w:color w:val="000000"/>
          <w:sz w:val="22"/>
        </w:rPr>
        <w:t>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“Living area”</w:t>
      </w:r>
      <w:r>
        <w:rPr>
          <w:rFonts w:ascii="Times New Roman" w:hAnsi="Times New Roman"/>
          <w:b w:val="false"/>
          <w:i w:val="false"/>
          <w:color w:val="000000"/>
          <w:sz w:val="22"/>
        </w:rPr>
        <w:t> </w:t>
      </w:r>
      <w:r>
        <w:rPr>
          <w:rFonts w:ascii="Times New Roman" w:hAnsi="Times New Roman"/>
          <w:b w:val="false"/>
          <w:i w:val="false"/>
          <w:color w:val="000000"/>
          <w:sz w:val="22"/>
        </w:rPr>
        <w:t>means any area of a residential dwelling used by at least one child six years of age or less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“Mid-yard”</w:t>
      </w:r>
      <w:r>
        <w:rPr>
          <w:rFonts w:ascii="Times New Roman" w:hAnsi="Times New Roman"/>
          <w:b w:val="false"/>
          <w:i w:val="false"/>
          <w:color w:val="000000"/>
          <w:sz w:val="22"/>
        </w:rPr>
        <w:t>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“Multifamily dwelling”</w:t>
      </w:r>
      <w:r>
        <w:rPr>
          <w:rFonts w:ascii="Times New Roman" w:hAnsi="Times New Roman"/>
          <w:b w:val="false"/>
          <w:i w:val="false"/>
          <w:color w:val="000000"/>
          <w:sz w:val="22"/>
        </w:rPr>
        <w:t> </w:t>
      </w:r>
      <w:r>
        <w:rPr>
          <w:rFonts w:ascii="Times New Roman" w:hAnsi="Times New Roman"/>
          <w:b w:val="false"/>
          <w:i w:val="false"/>
          <w:color w:val="000000"/>
          <w:sz w:val="22"/>
        </w:rPr>
        <w:t>means a structure that contains more than one separate residential dwelling unit, which is used or occupied, or is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“Play area”</w:t>
      </w:r>
      <w:r>
        <w:rPr>
          <w:rFonts w:ascii="Times New Roman" w:hAnsi="Times New Roman"/>
          <w:b w:val="false"/>
          <w:i w:val="false"/>
          <w:color w:val="000000"/>
          <w:sz w:val="22"/>
        </w:rPr>
        <w:t>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“Regulated entity”</w:t>
      </w:r>
      <w:r>
        <w:rPr>
          <w:rFonts w:ascii="Times New Roman" w:hAnsi="Times New Roman"/>
          <w:b w:val="false"/>
          <w:i w:val="false"/>
          <w:color w:val="000000"/>
          <w:sz w:val="22"/>
        </w:rPr>
        <w:t> </w:t>
      </w:r>
      <w:r>
        <w:rPr>
          <w:rFonts w:ascii="Times New Roman" w:hAnsi="Times New Roman"/>
          <w:b w:val="false"/>
          <w:i w:val="false"/>
          <w:color w:val="000000"/>
          <w:sz w:val="22"/>
        </w:rPr>
        <w:t>means any individual or company that is regulated by the department by virtue of these rules, the Iowa Code,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“Renovation, remodeling, repainting”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modifying any existing structure or portion of a structure where painted surfaces are disturbed, unless the activity fits the criteria of lead abatement as defined in rule </w:t>
      </w:r>
      <w:hyperlink r:id="rId6">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 xml:space="preserve">(10A) and is performed by a certified lead abatement contractor as defined in rule </w:t>
      </w:r>
      <w:hyperlink r:id="rId7">
        <w:r>
          <w:rPr>
            <w:rStyle w:val="Hyperlink"/>
            <w:rFonts w:ascii="Times New Roman" w:hAnsi="Times New Roman"/>
            <w:b w:val="false"/>
            <w:i w:val="false"/>
            <w:color w:val="000000"/>
            <w:sz w:val="22"/>
          </w:rPr>
          <w:t>481—470.2</w:t>
        </w:r>
      </w:hyperlink>
      <w:r>
        <w:rPr>
          <w:rFonts w:ascii="Times New Roman" w:hAnsi="Times New Roman"/>
          <w:b w:val="false"/>
          <w:i w:val="false"/>
          <w:color w:val="000000"/>
          <w:sz w:val="22"/>
        </w:rPr>
        <w:t>(10A). This includes, but is not limited to, removing walls, ceilings, and other painted building components; window replacement; floor refinishing; and sanding, scraping, stripping, water blasting, or otherwise removing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dwelling”</w:t>
      </w:r>
      <w:r>
        <w:rPr>
          <w:rFonts w:ascii="Times New Roman" w:hAnsi="Times New Roman"/>
          <w:b w:val="false"/>
          <w:i w:val="false"/>
          <w:color w:val="000000"/>
          <w:sz w:val="22"/>
        </w:rPr>
        <w:t>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“Soil-lead hazard”</w:t>
      </w:r>
      <w:r>
        <w:rPr>
          <w:rFonts w:ascii="Times New Roman" w:hAnsi="Times New Roman"/>
          <w:b w:val="false"/>
          <w:i w:val="false"/>
          <w:color w:val="000000"/>
          <w:sz w:val="22"/>
        </w:rPr>
        <w:t> </w:t>
      </w:r>
      <w:r>
        <w:rPr>
          <w:rFonts w:ascii="Times New Roman" w:hAnsi="Times New Roman"/>
          <w:b w:val="false"/>
          <w:i w:val="false"/>
          <w:color w:val="000000"/>
          <w:sz w:val="22"/>
        </w:rPr>
        <w:t>means bare soil on residential real property or on the property of a child-occupied facility that contains total lead in excess of 400 parts per million for the dripline, mid-yard, and play areas. A soil-lead hazard is present in a dripline, mid-yard, or play area when the soil-lead concentration from a composite sample of bare soil is equal to or greater than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housing”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i w:val="false"/>
          <w:color w:val="000000"/>
          <w:sz w:val="16"/>
        </w:rPr>
        <w:t>ARC 0594D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481—469.3</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target housing. </w:t>
      </w:r>
      <w:r>
        <w:rPr>
          <w:rFonts w:ascii="Times New Roman" w:hAnsi="Times New Roman"/>
          <w:b w:val="false"/>
          <w:i w:val="false"/>
          <w:color w:val="000000"/>
          <w:sz w:val="22"/>
        </w:rPr>
        <w:t>A person who performs renovation, remodeling, or repainting of target housing for compensation, except for emergency renovation, remodeling, or repainting of target housing, and except for minor repair and maintenance activities that disrupt less than 1.0 square feet of painted surface, shall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and adult occupant of each dwelling unit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and known adult occupant of each dwelling unit where renovation, remodeling, or repainting will be performed affirming receipt of the pamphlet prior to the start of renovation, remodeling, or repainting and are aware of the potential health hazards from remodeling, renovating, or repainting housing containing lead-based paint. The acknowledgment shall be obtained no more than 60 days prior to commencing the work, be completed prior to commencing the work, be clearly and legibly written,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owner’s and occupant’s names and the address of the residential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and date of signature, of the owner and occupant below the statement from paragraph </w:t>
      </w:r>
      <w:hyperlink r:id="rId9">
        <w:r>
          <w:rPr>
            <w:rStyle w:val="Hyperlink"/>
            <w:rFonts w:ascii="Times New Roman" w:hAnsi="Times New Roman"/>
            <w:b w:val="false"/>
            <w:i w:val="false"/>
            <w:color w:val="000000"/>
            <w:sz w:val="22"/>
          </w:rPr>
          <w:t>469.3(2)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signature cannot be obtained from an adult occupant, the person must certify in writing that the pamphlet was delivered to the dwelling and that a written acknowledgment could not be obtained from an adult occupant. Such certification must include the address of the unit to be remodeled, renovated, or repainted; the date and method of delivery of the pamphlet; the name of the person delivering the pamphlet; the reason for lack of acknowledgment (e.g., occupant refuses to sign, no adult occupant available); and a dated signature of the person conducting the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acknowledgment from subrule </w:t>
      </w:r>
      <w:hyperlink r:id="rId10">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may be included as a separate sheet or as a part of any written contract or service agreement. If the parties use a written contract or agreement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469.3(4)</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469.3(5)</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and occupants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481—469.4</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multifamily housing. </w:t>
      </w:r>
      <w:r>
        <w:rPr>
          <w:rFonts w:ascii="Times New Roman" w:hAnsi="Times New Roman"/>
          <w:b w:val="false"/>
          <w:i w:val="false"/>
          <w:color w:val="000000"/>
          <w:sz w:val="22"/>
        </w:rPr>
        <w:t>A person who performs renovation, remodeling, or repainting of common areas for compensation, except for emergency renovation, remodeling, or repainting of target housing, and except for minor repair and maintenance activities that disrupt less than 1.0 square feet of painted surface, shall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multifamily target housing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multifamily target housing where renovation, remodeling, or repainting will be performed affirming that the owner has received the pamphlet prior to the start of renovation, remodeling, or repainting and is aware of the potential health hazards from remodeling, renovating, or repainting housing containing lead-based paint. The acknowledgment shall be obtained no more than 60 days prior to commencing the work, be completed prior to commencing the work, be clearly and legibly written,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owner’s name and the address of the multifamily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acknowledgment from subrule </w:t>
      </w:r>
      <w:hyperlink r:id="rId11">
        <w:r>
          <w:rPr>
            <w:rStyle w:val="Hyperlink"/>
            <w:rFonts w:ascii="Times New Roman" w:hAnsi="Times New Roman"/>
            <w:b w:val="false"/>
            <w:i w:val="false"/>
            <w:color w:val="000000"/>
            <w:sz w:val="22"/>
          </w:rPr>
          <w:t>469.4(2)</w:t>
        </w:r>
      </w:hyperlink>
      <w:r>
        <w:rPr>
          <w:rFonts w:ascii="Times New Roman" w:hAnsi="Times New Roman"/>
          <w:b w:val="false"/>
          <w:i w:val="false"/>
          <w:color w:val="000000"/>
          <w:sz w:val="22"/>
        </w:rPr>
        <w:t xml:space="preserve"> as a separate sheet or as a part of any written contract or service agreement. If the parties use a written contract or agreement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469.4(4)</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each occupant of the multifamily housing, in writing, of the intended remodeling, repainting, or renovation, and make a pamphlet as described in subrule </w:t>
      </w:r>
      <w:hyperlink r:id="rId12">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available upon request. At a minimum, this notification shall be accomplished by distributing written notice to each occupant of the target housing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expected starting and ending dates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how the owners and occupants can obtain a pamphlet as described in subrule </w:t>
      </w:r>
      <w:hyperlink r:id="rId13">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469.4(5)</w:t>
      </w:r>
      <w:r>
        <w:rPr>
          <w:rFonts w:ascii="Times New Roman" w:hAnsi="Times New Roman"/>
          <w:b w:val="false"/>
          <w:i w:val="false"/>
          <w:color w:val="000000"/>
          <w:sz w:val="22"/>
        </w:rPr>
        <w:t> </w:t>
      </w:r>
      <w:r>
        <w:rPr>
          <w:rFonts w:ascii="Times New Roman" w:hAnsi="Times New Roman"/>
          <w:b w:val="false"/>
          <w:i w:val="false"/>
          <w:color w:val="000000"/>
          <w:sz w:val="22"/>
        </w:rPr>
        <w:t>These activities may be conducted by the owner on behalf of the person planning to perform the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469.4(6)</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sign, and date a statement describing the steps performed to notify all occupants of the intended renovation, remodeling, or repainting, and to provide a pamphlet as described in subrule </w:t>
      </w:r>
      <w:hyperlink r:id="rId14">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upon request. Regardless of who performs the notification activities in this rule, the person planning to conduct the renovation, remodeling, or repainting is responsible for ensuring compliance will be liable for any failure to comply with the notification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469.4(7)</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15">
        <w:r>
          <w:rPr>
            <w:rStyle w:val="Hyperlink"/>
            <w:rFonts w:ascii="Times New Roman" w:hAnsi="Times New Roman"/>
            <w:b w:val="false"/>
            <w:i w:val="false"/>
            <w:color w:val="000000"/>
            <w:sz w:val="22"/>
          </w:rPr>
          <w:t>469.3(4)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469.3(5)</w:t>
        </w:r>
      </w:hyperlink>
      <w:r>
        <w:rPr>
          <w:rFonts w:ascii="Times New Roman" w:hAnsi="Times New Roman"/>
          <w:b w:val="false"/>
          <w:i w:val="false"/>
          <w:color w:val="000000"/>
          <w:sz w:val="22"/>
        </w:rPr>
        <w:t xml:space="preserve"> are applicable as if set forth herein.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481—469.5</w:t>
      </w:r>
      <w:r>
        <w:rPr>
          <w:rFonts w:ascii="Times New Roman" w:hAnsi="Times New Roman"/>
          <w:b/>
          <w:i w:val="false"/>
          <w:color w:val="000000"/>
          <w:sz w:val="22"/>
        </w:rPr>
        <w:t xml:space="preserve">(10A) </w:t>
      </w:r>
      <w:r>
        <w:rPr>
          <w:rFonts w:ascii="Times New Roman" w:hAnsi="Times New Roman"/>
          <w:b/>
          <w:i w:val="false"/>
          <w:color w:val="000000"/>
          <w:sz w:val="22"/>
        </w:rPr>
        <w:t xml:space="preserve">Emergency renovation, remodeling, or repainting in target housing. </w:t>
      </w:r>
      <w:r>
        <w:rPr>
          <w:rFonts w:ascii="Times New Roman" w:hAnsi="Times New Roman"/>
          <w:b w:val="false"/>
          <w:i w:val="false"/>
          <w:color w:val="000000"/>
          <w:sz w:val="22"/>
        </w:rPr>
        <w:t>A person who performs emergency renovation, remodeling, or repainting of target housing for compensation, except for minor repair and maintenance activities that disrupt less than 1.0 square feet of painted surface, will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pamphlet as described in subrule </w:t>
      </w:r>
      <w:hyperlink r:id="rId17">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the owner of the target housing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469.5(2)</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each owner and occupant of the target housing, in writing, of the remodeling, repainting, or renovation, and make a pamphlet as described in subrule </w:t>
      </w:r>
      <w:hyperlink r:id="rId18">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available upon request. At a minimum, this notification shall be accomplished by distributing written notice to each owner and occupant of the target housing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how the owners and occupants can obtain a pamphlet as described in subrule </w:t>
      </w:r>
      <w:hyperlink r:id="rId19">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469.5(3)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activities may be conducted by the owner on behalf of the person performing the renovation, remodeling, or repainting. The person planning to perform the renovation, remodeling, or repainting must prepare, sign, and date a statement describing the steps performed to notify all occupants of the intended renovation, remodeling, or repainting and, upon request, provide a pamphlet as described in subrule </w:t>
      </w:r>
      <w:hyperlink r:id="rId20">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at no charge. Regardless of who performs the notification activities in this rule, the person conducting the renovation, remodeling, or repainting is responsible for ensuring compliance with this rule and will be liable for any failure to comply with the notification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481—469.6</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of attempted delivery in target housing. </w:t>
      </w:r>
      <w:r>
        <w:rPr>
          <w:rFonts w:ascii="Times New Roman" w:hAnsi="Times New Roman"/>
          <w:b w:val="false"/>
          <w:i w:val="false"/>
          <w:color w:val="000000"/>
          <w:sz w:val="22"/>
        </w:rPr>
        <w:t xml:space="preserve">When an adult occupant is unavailable for signature or refuses to sign the acknowledgment of receipt of the pamphlet, the person conducting the renovation, remodeling, or repainting is permitted by subrule </w:t>
      </w:r>
      <w:hyperlink r:id="rId21">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certify delivery for each instance. In addition to subrule </w:t>
      </w:r>
      <w:hyperlink r:id="rId22">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469.6(1)</w:t>
      </w:r>
      <w:r>
        <w:rPr>
          <w:rFonts w:ascii="Times New Roman" w:hAnsi="Times New Roman"/>
          <w:b w:val="false"/>
          <w:i w:val="false"/>
          <w:color w:val="000000"/>
          <w:sz w:val="22"/>
        </w:rPr>
        <w:t> </w:t>
      </w:r>
      <w:r>
        <w:rPr>
          <w:rFonts w:ascii="Times New Roman" w:hAnsi="Times New Roman"/>
          <w:b w:val="false"/>
          <w:i w:val="false"/>
          <w:color w:val="000000"/>
          <w:sz w:val="22"/>
        </w:rPr>
        <w:t>If an adult occupant is unavailable for signature, the certification shall contain the printed name and dated signature of the person conducting the renovation, remodeling, or repainting, the address of the unit, and the attempted delivery dates and times under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unit listed below at the dates and times indicated, and that an adult occupant was unavailable to sign the acknowledgment. I further certify that I have left a copy of the pamphlet at the unit with the occupant.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469.6(2)</w:t>
      </w:r>
      <w:r>
        <w:rPr>
          <w:rFonts w:ascii="Times New Roman" w:hAnsi="Times New Roman"/>
          <w:b w:val="false"/>
          <w:i w:val="false"/>
          <w:color w:val="000000"/>
          <w:sz w:val="22"/>
        </w:rPr>
        <w:t> </w:t>
      </w:r>
      <w:r>
        <w:rPr>
          <w:rFonts w:ascii="Times New Roman" w:hAnsi="Times New Roman"/>
          <w:b w:val="false"/>
          <w:i w:val="false"/>
          <w:color w:val="000000"/>
          <w:sz w:val="22"/>
        </w:rPr>
        <w:t>If the occupant refuses to sign the acknowledgment, the certification shall contain the printed name and dated signature of the person conducting the renovation, remodeling, or repainting, the address of the unit, the attempted delivery dates and times, and the location where the pamphlet was left at the unit (e.g., taped to the door, slipped under the door) under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unit listed below at the dates and times indicated, and that the occupant refused to sign the acknowledgment. I further certify that I have left a copy of the pamphlet at the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481—469.7</w:t>
      </w:r>
      <w:r>
        <w:rPr>
          <w:rFonts w:ascii="Times New Roman" w:hAnsi="Times New Roman"/>
          <w:b/>
          <w:i w:val="false"/>
          <w:color w:val="000000"/>
          <w:sz w:val="22"/>
        </w:rPr>
        <w:t xml:space="preserve">(10A) </w:t>
      </w:r>
      <w:r>
        <w:rPr>
          <w:rFonts w:ascii="Times New Roman" w:hAnsi="Times New Roman"/>
          <w:b/>
          <w:i w:val="false"/>
          <w:color w:val="000000"/>
          <w:sz w:val="22"/>
        </w:rPr>
        <w:t xml:space="preserve">Notification required in child-occupied facilities. </w:t>
      </w:r>
      <w:r>
        <w:rPr>
          <w:rFonts w:ascii="Times New Roman" w:hAnsi="Times New Roman"/>
          <w:b w:val="false"/>
          <w:i w:val="false"/>
          <w:color w:val="000000"/>
          <w:sz w:val="22"/>
        </w:rPr>
        <w:t>A person who performs renovation, remodeling, or repainting of child-occupied facilities for compensation, except for emergency renovation, remodeling, or repainting of child-occupied facilities, and except for minor repair and maintenance activities that disrupt less than 1.0 square feet of painted surface, will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building where renovation, remodeling, or repainting will be performed. The pamphlet will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building where renovation, remodeling, or repainting will be performed affirming that the owner has received the pamphlet prior to the start of renovation, remodeling, or repainting and is aware of the potential health hazards from remodeling, renovating, or repainting buildings containing lead-based paint. The acknowledgment will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owner’s name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will require 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owner, the person will certify in writing that the pamphlet has been delivered to the building and that a written acknowledgment could not be obtained from an owner. Such certification will include the address of the building to be remodeled, renovated, or repainted, the date and method of delivery of the pamphlet, the name of the person delivering the pamphlet, the reason for lack of acknowledgment (e.g., owner refuses to sign, owner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will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will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that is written in a language other than English, the acknowledgment text will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owner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further notification to the owners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469.7(5)</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provide the pamphlet entitled Lead Poisoning: How to Protect Iowa Families or the federal pamphlet, Renovate Right, to the operator of the child-occupied facility where renovation, remodeling, or repainting will be performed. The pamphlet will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469.7(6)</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obtain a signed, dated acknowledgment from the operator of the child-occupied facility where renovation, remodeling, or repainting will be performed affirming that the operator has received the pamphlet prior to the start of renovation, remodeling, or repainting and is aware of the potential health hazards from remodeling, renovating, or repainting buildings containing lead-based paint. The acknowledgment will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name of the operator of the child-occupied facility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will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will require the signature of the operator of the child-occupied facility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operator of the child-occupied facility, the person will certify in writing that the pamphlet has been delivered to the building and that a written acknowledgment could not be obtained from the operator of the child-occupied facility. Such certification will include the address of the building to be remodeled, renovated, or repainted, the date and method of delivery of the pamphlet, the name of the person delivering the pamphlet, the reason for lack of acknowledgment (e.g., operator of the child-occupied facility refuses to sign, operator of the child-occupied facility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will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will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that is written in a language other than English, the acknowledgment text will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469.7(7)</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operator of the child-occupied facility at least 7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469.7(8)</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further notification to the operator of the child-occupied facility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469.7(9)</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pamphlet and information will be provided no more than 60 days prior to commencing the work. The person conducting the renovation, remodeling, or repainting will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will be posted in areas where they can be seen by the parents of the children frequenting the child-occupied facility. The signs will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in subrule </w:t>
      </w:r>
      <w:hyperlink r:id="rId23">
        <w:r>
          <w:rPr>
            <w:rStyle w:val="Hyperlink"/>
            <w:rFonts w:ascii="Times New Roman" w:hAnsi="Times New Roman"/>
            <w:b w:val="false"/>
            <w:i w:val="false"/>
            <w:color w:val="000000"/>
            <w:sz w:val="22"/>
          </w:rPr>
          <w:t>469.7(9)</w:t>
        </w:r>
      </w:hyperlink>
      <w:r>
        <w:rPr>
          <w:rFonts w:ascii="Times New Roman" w:hAnsi="Times New Roman"/>
          <w:b w:val="false"/>
          <w:i w:val="false"/>
          <w:color w:val="000000"/>
          <w:sz w:val="22"/>
        </w:rPr>
        <w:t xml:space="preserve"> will be conducted by the person planning to perform the renovation, remodeling, or repainting or by the owner or operator of the child-occupied facility on behalf of this person. Regardless of who performs the notification activities required in subrule </w:t>
      </w:r>
      <w:hyperlink r:id="rId24">
        <w:r>
          <w:rPr>
            <w:rStyle w:val="Hyperlink"/>
            <w:rFonts w:ascii="Times New Roman" w:hAnsi="Times New Roman"/>
            <w:b w:val="false"/>
            <w:i w:val="false"/>
            <w:color w:val="000000"/>
            <w:sz w:val="22"/>
          </w:rPr>
          <w:t>469.7(9)</w:t>
        </w:r>
      </w:hyperlink>
      <w:r>
        <w:rPr>
          <w:rFonts w:ascii="Times New Roman" w:hAnsi="Times New Roman"/>
          <w:b w:val="false"/>
          <w:i w:val="false"/>
          <w:color w:val="000000"/>
          <w:sz w:val="22"/>
        </w:rPr>
        <w:t>, the person conducting the renovation, remodeling, or repainting will be responsible for ensuring compliance with this rule and will be liable for any failures to comply with the notification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469.7(11)</w:t>
      </w:r>
      <w:r>
        <w:rPr>
          <w:rFonts w:ascii="Times New Roman" w:hAnsi="Times New Roman"/>
          <w:b w:val="false"/>
          <w:i w:val="false"/>
          <w:color w:val="000000"/>
          <w:sz w:val="22"/>
        </w:rPr>
        <w:t> </w:t>
      </w:r>
      <w:r>
        <w:rPr>
          <w:rFonts w:ascii="Times New Roman" w:hAnsi="Times New Roman"/>
          <w:b w:val="false"/>
          <w:i w:val="false"/>
          <w:color w:val="000000"/>
          <w:sz w:val="22"/>
        </w:rPr>
        <w:t>The person conducting the renovation, remodeling, or repainting will prepare, sign, and date a statement describing the steps performed to notify all parents and guardians of the intended renovation, remodeling, or repainting and to provide the pamphlet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469.7(12)</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will provide revised information on the ongoing or planned activities to the parents and guardians of children frequenting the child-occupied facility providing revised information on the ongoing or planned activities. This subsequent notification will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481—469.8</w:t>
      </w:r>
      <w:r>
        <w:rPr>
          <w:rFonts w:ascii="Times New Roman" w:hAnsi="Times New Roman"/>
          <w:b/>
          <w:i w:val="false"/>
          <w:color w:val="000000"/>
          <w:sz w:val="22"/>
        </w:rPr>
        <w:t xml:space="preserve">(10A) </w:t>
      </w:r>
      <w:r>
        <w:rPr>
          <w:rFonts w:ascii="Times New Roman" w:hAnsi="Times New Roman"/>
          <w:b/>
          <w:i w:val="false"/>
          <w:color w:val="000000"/>
          <w:sz w:val="22"/>
        </w:rPr>
        <w:t xml:space="preserve">Emergency renovation, remodeling, or repainting in child-occupied facilities. </w:t>
      </w:r>
      <w:r>
        <w:rPr>
          <w:rFonts w:ascii="Times New Roman" w:hAnsi="Times New Roman"/>
          <w:b w:val="false"/>
          <w:i w:val="false"/>
          <w:color w:val="000000"/>
          <w:sz w:val="22"/>
        </w:rPr>
        <w:t>A person who performs emergency renovation, remodeling, or repainting of child-occupied facilities for compensation, except for minor repair and maintenance activities that disrupt less than 1.0 square feet of painted surface, will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469.8(1)</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to the owner of the building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469.8(2)</w:t>
      </w:r>
      <w:r>
        <w:rPr>
          <w:rFonts w:ascii="Times New Roman" w:hAnsi="Times New Roman"/>
          <w:b w:val="false"/>
          <w:i w:val="false"/>
          <w:color w:val="000000"/>
          <w:sz w:val="22"/>
        </w:rPr>
        <w:t> </w:t>
      </w:r>
      <w:r>
        <w:rPr>
          <w:rFonts w:ascii="Times New Roman" w:hAnsi="Times New Roman"/>
          <w:b w:val="false"/>
          <w:i w:val="false"/>
          <w:color w:val="000000"/>
          <w:sz w:val="22"/>
        </w:rPr>
        <w:t>Notify each owner and, if different, the operator of the child-occupied facility, in writing, of the remodeling, repainting, or renovation, and make the pamphlet, Lead Poisoning: How to Protect Iowa Families, or the federal pamphlet, Renovate Right, available upon request. At a minimum, this notification will be accomplished by distributing written notice to each owner and, if different, operator of the child-occupied facility. The notice will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how each owner and, if different, the operator of the child-occupied facility can obtain the pamphlet entitled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469.8(3)</w:t>
      </w:r>
      <w:r>
        <w:rPr>
          <w:rFonts w:ascii="Times New Roman" w:hAnsi="Times New Roman"/>
          <w:b w:val="false"/>
          <w:i w:val="false"/>
          <w:color w:val="000000"/>
          <w:sz w:val="22"/>
        </w:rPr>
        <w:t> </w:t>
      </w:r>
      <w:r>
        <w:rPr>
          <w:rFonts w:ascii="Times New Roman" w:hAnsi="Times New Roman"/>
          <w:b w:val="false"/>
          <w:i w:val="false"/>
          <w:color w:val="000000"/>
          <w:sz w:val="22"/>
        </w:rPr>
        <w:t>Provide the pamphlet entitled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person conducting the renovation, remodeling, or repainting will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will be posted in areas where they can be seen by the parents or guardians of the children frequenting the child-occupied facility. The signs will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in subrule </w:t>
      </w:r>
      <w:hyperlink r:id="rId25">
        <w:r>
          <w:rPr>
            <w:rStyle w:val="Hyperlink"/>
            <w:rFonts w:ascii="Times New Roman" w:hAnsi="Times New Roman"/>
            <w:b w:val="false"/>
            <w:i w:val="false"/>
            <w:color w:val="000000"/>
            <w:sz w:val="22"/>
          </w:rPr>
          <w:t>469.8(3)</w:t>
        </w:r>
      </w:hyperlink>
      <w:r>
        <w:rPr>
          <w:rFonts w:ascii="Times New Roman" w:hAnsi="Times New Roman"/>
          <w:b w:val="false"/>
          <w:i w:val="false"/>
          <w:color w:val="000000"/>
          <w:sz w:val="22"/>
        </w:rPr>
        <w:t xml:space="preserve"> will be conducted by the person planning to perform the renovation, remodeling, or repainting or by the owner or operator of the child-occupied facility on behalf of this person. Regardless of who performs the notification activities required in subrule </w:t>
      </w:r>
      <w:hyperlink r:id="rId26">
        <w:r>
          <w:rPr>
            <w:rStyle w:val="Hyperlink"/>
            <w:rFonts w:ascii="Times New Roman" w:hAnsi="Times New Roman"/>
            <w:b w:val="false"/>
            <w:i w:val="false"/>
            <w:color w:val="000000"/>
            <w:sz w:val="22"/>
          </w:rPr>
          <w:t>469.8(3)</w:t>
        </w:r>
      </w:hyperlink>
      <w:r>
        <w:rPr>
          <w:rFonts w:ascii="Times New Roman" w:hAnsi="Times New Roman"/>
          <w:b w:val="false"/>
          <w:i w:val="false"/>
          <w:color w:val="000000"/>
          <w:sz w:val="22"/>
        </w:rPr>
        <w:t>, the person conducting the renovation, remodeling, or repainting will be responsible for ensuring compliance with this rule and will be liable for any failures to comply with the notification requirements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481—469.9</w:t>
      </w:r>
      <w:r>
        <w:rPr>
          <w:rFonts w:ascii="Times New Roman" w:hAnsi="Times New Roman"/>
          <w:b/>
          <w:i w:val="false"/>
          <w:color w:val="000000"/>
          <w:sz w:val="22"/>
        </w:rPr>
        <w:t xml:space="preserve">(10A) </w:t>
      </w:r>
      <w:r>
        <w:rPr>
          <w:rFonts w:ascii="Times New Roman" w:hAnsi="Times New Roman"/>
          <w:b/>
          <w:i w:val="false"/>
          <w:color w:val="000000"/>
          <w:sz w:val="22"/>
        </w:rPr>
        <w:t xml:space="preserve">Certification of attempted delivery for child-occupied facilities. </w:t>
      </w:r>
      <w:r>
        <w:rPr>
          <w:rFonts w:ascii="Times New Roman" w:hAnsi="Times New Roman"/>
          <w:b w:val="false"/>
          <w:i w:val="false"/>
          <w:color w:val="000000"/>
          <w:sz w:val="22"/>
        </w:rPr>
        <w:t xml:space="preserve">When the owner and, if different, operator of a child-occupied facility are unavailable for signature or refuse to sign the acknowledgment of receipt of the pamphlet, the person conducting the renovation, remodeling, or repainting is permitted by subrule </w:t>
      </w:r>
      <w:hyperlink r:id="rId27">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to certify delivery for each instance. The certification will include the address of the child-occupied facility undergoing renovation, remodeling, or repainting, the date and method of delivery of the pamphlet, name of the person delivering the pamphlet, reason for lack of acknowledgment (e.g., owner and, if different, operator refuse to sign), the signature of the individual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469.9(1)</w:t>
      </w:r>
      <w:r>
        <w:rPr>
          <w:rFonts w:ascii="Times New Roman" w:hAnsi="Times New Roman"/>
          <w:b w:val="false"/>
          <w:i w:val="false"/>
          <w:color w:val="000000"/>
          <w:sz w:val="22"/>
        </w:rPr>
        <w:t> </w:t>
      </w:r>
      <w:r>
        <w:rPr>
          <w:rFonts w:ascii="Times New Roman" w:hAnsi="Times New Roman"/>
          <w:b w:val="false"/>
          <w:i/>
          <w:color w:val="000000"/>
          <w:sz w:val="22"/>
        </w:rPr>
        <w:t xml:space="preserve">Unavailable for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of the child-occupied facility are unavailable for signature, the certification will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child-occupied facility listed below at the dates and times indicated, and that the owner and, if different, operator of the child-occupied facility was unavailable to sign the acknowledgment. I further certify that I have left a copy of the pamphlet at the child-occupied facility with the owner and, if different,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will require the printed name and signature of the person conducting the renovation, remodeling, or repainting, the address of the child-occupied facility, the attempted delivery dates and times,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469.9(2)</w:t>
      </w:r>
      <w:r>
        <w:rPr>
          <w:rFonts w:ascii="Times New Roman" w:hAnsi="Times New Roman"/>
          <w:b w:val="false"/>
          <w:i w:val="false"/>
          <w:color w:val="000000"/>
          <w:sz w:val="22"/>
        </w:rPr>
        <w:t> </w:t>
      </w:r>
      <w:r>
        <w:rPr>
          <w:rFonts w:ascii="Times New Roman" w:hAnsi="Times New Roman"/>
          <w:b w:val="false"/>
          <w:i/>
          <w:color w:val="000000"/>
          <w:sz w:val="22"/>
        </w:rPr>
        <w:t xml:space="preserve">Refused to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refuse to sign the acknowledgment, the certification will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entitled Lead Poisoning: How to Protect Iowa Families or the federal pamphlet, Renovate Right, to the child-occupied facility listed below at the dates and times indicated, and that the owner and, if different, operator refused to sign the acknowledgment. I further certify that I have left a copy of the pamphlet at the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will require the printed name and signature of the person conducting the renovation, remodeling, or repainting, the address of the child-occupied facility, the attempted delivery dates and times, the location where the pamphlet was left at the child-occupied facility (e.g., taped to the door, slipped under the door), and the date of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481—469.10</w:t>
      </w:r>
      <w:r>
        <w:rPr>
          <w:rFonts w:ascii="Times New Roman" w:hAnsi="Times New Roman"/>
          <w:b/>
          <w:i w:val="false"/>
          <w:color w:val="000000"/>
          <w:sz w:val="22"/>
        </w:rPr>
        <w:t xml:space="preserve">(10A) </w:t>
      </w:r>
      <w:r>
        <w:rPr>
          <w:rFonts w:ascii="Times New Roman" w:hAnsi="Times New Roman"/>
          <w:b/>
          <w:i w:val="false"/>
          <w:color w:val="000000"/>
          <w:sz w:val="22"/>
        </w:rPr>
        <w:t xml:space="preserve">Subcontracts. </w:t>
      </w:r>
      <w:r>
        <w:rPr>
          <w:rFonts w:ascii="Times New Roman" w:hAnsi="Times New Roman"/>
          <w:b w:val="false"/>
          <w:i w:val="false"/>
          <w:color w:val="000000"/>
          <w:sz w:val="22"/>
        </w:rPr>
        <w:t xml:space="preserve">In cases where renovation, remodeling, or repainting activities involve subcontracts, it is the responsibility of the person receiving the compensation from the property owner, or other party on behalf of the property owner, to provide the notification(s) described in rules </w:t>
      </w:r>
      <w:hyperlink r:id="rId28">
        <w:r>
          <w:rPr>
            <w:rStyle w:val="Hyperlink"/>
            <w:rFonts w:ascii="Times New Roman" w:hAnsi="Times New Roman"/>
            <w:b w:val="false"/>
            <w:i w:val="false"/>
            <w:color w:val="000000"/>
            <w:sz w:val="22"/>
          </w:rPr>
          <w:t>481—469.3</w:t>
        </w:r>
      </w:hyperlink>
      <w:r>
        <w:rPr>
          <w:rFonts w:ascii="Times New Roman" w:hAnsi="Times New Roman"/>
          <w:b w:val="false"/>
          <w:i w:val="false"/>
          <w:color w:val="000000"/>
          <w:sz w:val="22"/>
        </w:rPr>
        <w:t xml:space="preserve">(10A), </w:t>
      </w:r>
      <w:hyperlink r:id="rId29">
        <w:r>
          <w:rPr>
            <w:rStyle w:val="Hyperlink"/>
            <w:rFonts w:ascii="Times New Roman" w:hAnsi="Times New Roman"/>
            <w:b w:val="false"/>
            <w:i w:val="false"/>
            <w:color w:val="000000"/>
            <w:sz w:val="22"/>
          </w:rPr>
          <w:t>481—469.4</w:t>
        </w:r>
      </w:hyperlink>
      <w:r>
        <w:rPr>
          <w:rFonts w:ascii="Times New Roman" w:hAnsi="Times New Roman"/>
          <w:b w:val="false"/>
          <w:i w:val="false"/>
          <w:color w:val="000000"/>
          <w:sz w:val="22"/>
        </w:rPr>
        <w:t xml:space="preserve">(10A), </w:t>
      </w:r>
      <w:hyperlink r:id="rId30">
        <w:r>
          <w:rPr>
            <w:rStyle w:val="Hyperlink"/>
            <w:rFonts w:ascii="Times New Roman" w:hAnsi="Times New Roman"/>
            <w:b w:val="false"/>
            <w:i w:val="false"/>
            <w:color w:val="000000"/>
            <w:sz w:val="22"/>
          </w:rPr>
          <w:t>481—469.5</w:t>
        </w:r>
      </w:hyperlink>
      <w:r>
        <w:rPr>
          <w:rFonts w:ascii="Times New Roman" w:hAnsi="Times New Roman"/>
          <w:b w:val="false"/>
          <w:i w:val="false"/>
          <w:color w:val="000000"/>
          <w:sz w:val="22"/>
        </w:rPr>
        <w:t xml:space="preserve">(10A), and </w:t>
      </w:r>
      <w:hyperlink r:id="rId31">
        <w:r>
          <w:rPr>
            <w:rStyle w:val="Hyperlink"/>
            <w:rFonts w:ascii="Times New Roman" w:hAnsi="Times New Roman"/>
            <w:b w:val="false"/>
            <w:i w:val="false"/>
            <w:color w:val="000000"/>
            <w:sz w:val="22"/>
          </w:rPr>
          <w:t>481—469.6</w:t>
        </w:r>
      </w:hyperlink>
      <w:r>
        <w:rPr>
          <w:rFonts w:ascii="Times New Roman" w:hAnsi="Times New Roman"/>
          <w:b w:val="false"/>
          <w:i w:val="false"/>
          <w:color w:val="000000"/>
          <w:sz w:val="22"/>
        </w:rPr>
        <w:t xml:space="preserve">(10A).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481—469.11</w:t>
      </w:r>
      <w:r>
        <w:rPr>
          <w:rFonts w:ascii="Times New Roman" w:hAnsi="Times New Roman"/>
          <w:b/>
          <w:i w:val="false"/>
          <w:color w:val="000000"/>
          <w:sz w:val="22"/>
        </w:rPr>
        <w:t xml:space="preserve">(10A) </w:t>
      </w:r>
      <w:r>
        <w:rPr>
          <w:rFonts w:ascii="Times New Roman" w:hAnsi="Times New Roman"/>
          <w:b/>
          <w:i w:val="false"/>
          <w:color w:val="000000"/>
          <w:sz w:val="22"/>
        </w:rPr>
        <w:t xml:space="preserve">Exemption. </w:t>
      </w:r>
      <w:r>
        <w:rPr>
          <w:rFonts w:ascii="Times New Roman" w:hAnsi="Times New Roman"/>
          <w:b w:val="false"/>
          <w:i w:val="false"/>
          <w:color w:val="000000"/>
          <w:sz w:val="22"/>
        </w:rPr>
        <w:t xml:space="preserve">Renovation, remodeling, or repainting in target housing or a child-occupied facility in which a lead inspector/risk assessor or elevated blood lead (EBL) inspector/risk assessor certified pursuant to </w:t>
      </w:r>
      <w:hyperlink r:id="rId32">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xml:space="preserve"> has made a written determination that the components affected by the renovation are free of lead-based paint and where the person conducting the renovation, remodeling, or repainting has obtained a copy of the written determination is exempt from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481—469.12</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Recordkeeping requirements. </w:t>
      </w:r>
      <w:r>
        <w:rPr>
          <w:rFonts w:ascii="Times New Roman" w:hAnsi="Times New Roman"/>
          <w:b w:val="false"/>
          <w:i w:val="false"/>
          <w:color w:val="000000"/>
          <w:sz w:val="22"/>
        </w:rPr>
        <w:t>A person who conducts renovation, remodeling, or repainting for compensation in target housing or a child-occupied facility shall retain records necessary to demonstrate compliance with this chapter for a minimum of three years following completion of the renovation, remodeling, or repainting,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469.12(1)</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target housing or child-occupied facility where remodeling, renovation, or repainting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469.12(2)</w:t>
      </w:r>
      <w:r>
        <w:rPr>
          <w:rFonts w:ascii="Times New Roman" w:hAnsi="Times New Roman"/>
          <w:b w:val="false"/>
          <w:i w:val="false"/>
          <w:color w:val="000000"/>
          <w:sz w:val="22"/>
        </w:rPr>
        <w:t> </w:t>
      </w:r>
      <w:r>
        <w:rPr>
          <w:rFonts w:ascii="Times New Roman" w:hAnsi="Times New Roman"/>
          <w:b w:val="false"/>
          <w:i w:val="false"/>
          <w:color w:val="000000"/>
          <w:sz w:val="22"/>
        </w:rPr>
        <w:t>A list of all known occupants of the dwelling units where renovation, remodeling, or repainting was conducted at the commencement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469.12(3)</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signed, dated acknowledgments, notifications, and notification materials required by subrules </w:t>
      </w:r>
      <w:hyperlink r:id="rId33">
        <w:r>
          <w:rPr>
            <w:rStyle w:val="Hyperlink"/>
            <w:rFonts w:ascii="Times New Roman" w:hAnsi="Times New Roman"/>
            <w:b w:val="false"/>
            <w:i w:val="false"/>
            <w:color w:val="000000"/>
            <w:sz w:val="22"/>
          </w:rPr>
          <w:t>469.3(2)</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469.4(2)</w:t>
        </w:r>
      </w:hyperlink>
      <w:r>
        <w:rPr>
          <w:rFonts w:ascii="Times New Roman" w:hAnsi="Times New Roman"/>
          <w:b w:val="false"/>
          <w:i w:val="false"/>
          <w:color w:val="000000"/>
          <w:sz w:val="22"/>
        </w:rPr>
        <w:t xml:space="preserve"> and rule </w:t>
      </w:r>
      <w:hyperlink r:id="rId35">
        <w:r>
          <w:rPr>
            <w:rStyle w:val="Hyperlink"/>
            <w:rFonts w:ascii="Times New Roman" w:hAnsi="Times New Roman"/>
            <w:b w:val="false"/>
            <w:i w:val="false"/>
            <w:color w:val="000000"/>
            <w:sz w:val="22"/>
          </w:rPr>
          <w:t>481—469.7</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469.12(4)</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showing that a lead inspector/risk assessor or elevated blood level (EBL) inspector/risk assessor certified pursuant to </w:t>
      </w:r>
      <w:hyperlink r:id="rId36">
        <w:r>
          <w:rPr>
            <w:rStyle w:val="Hyperlink"/>
            <w:rFonts w:ascii="Times New Roman" w:hAnsi="Times New Roman"/>
            <w:b w:val="false"/>
            <w:i w:val="false"/>
            <w:color w:val="000000"/>
            <w:sz w:val="22"/>
          </w:rPr>
          <w:t>481—Chapter 470</w:t>
        </w:r>
      </w:hyperlink>
      <w:r>
        <w:rPr>
          <w:rFonts w:ascii="Times New Roman" w:hAnsi="Times New Roman"/>
          <w:b w:val="false"/>
          <w:i w:val="false"/>
          <w:color w:val="000000"/>
          <w:sz w:val="22"/>
        </w:rPr>
        <w:t xml:space="preserve"> has made a written determination that the components affected by the renovation are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Certifications of attempted delivery as described in rule </w:t>
      </w:r>
      <w:hyperlink r:id="rId37">
        <w:r>
          <w:rPr>
            <w:rStyle w:val="Hyperlink"/>
            <w:rFonts w:ascii="Times New Roman" w:hAnsi="Times New Roman"/>
            <w:b w:val="false"/>
            <w:i w:val="false"/>
            <w:color w:val="000000"/>
            <w:sz w:val="22"/>
          </w:rPr>
          <w:t>481—469.6</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469.12(6)</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Certificates of mailing as described in subrules </w:t>
      </w:r>
      <w:hyperlink r:id="rId38">
        <w:r>
          <w:rPr>
            <w:rStyle w:val="Hyperlink"/>
            <w:rFonts w:ascii="Times New Roman" w:hAnsi="Times New Roman"/>
            <w:b w:val="false"/>
            <w:i w:val="false"/>
            <w:color w:val="000000"/>
            <w:sz w:val="22"/>
          </w:rPr>
          <w:t>469.3(3)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469.4(3)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481—469.13</w:t>
      </w:r>
      <w:r>
        <w:rPr>
          <w:rFonts w:ascii="Times New Roman" w:hAnsi="Times New Roman"/>
          <w:b/>
          <w:i w:val="false"/>
          <w:color w:val="000000"/>
          <w:sz w:val="22"/>
        </w:rPr>
        <w:t xml:space="preserve">(10A) </w:t>
      </w:r>
      <w:r>
        <w:rPr>
          <w:rFonts w:ascii="Times New Roman" w:hAnsi="Times New Roman"/>
          <w:b/>
          <w:i w:val="false"/>
          <w:color w:val="000000"/>
          <w:sz w:val="22"/>
        </w:rPr>
        <w:t xml:space="preserve">Compliance inspections. </w:t>
      </w:r>
      <w:r>
        <w:rPr>
          <w:rFonts w:ascii="Times New Roman" w:hAnsi="Times New Roman"/>
          <w:b w:val="false"/>
          <w:i w:val="false"/>
          <w:color w:val="000000"/>
          <w:sz w:val="22"/>
        </w:rPr>
        <w:t>The department may enter the place of business of a person who conducts renovation, remodeling, or repainting for the purpose of enforcing the notification required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481—469.14</w:t>
      </w:r>
      <w:r>
        <w:rPr>
          <w:rFonts w:ascii="Times New Roman" w:hAnsi="Times New Roman"/>
          <w:b/>
          <w:i w:val="false"/>
          <w:color w:val="000000"/>
          <w:sz w:val="22"/>
        </w:rPr>
        <w:t xml:space="preserve">(10A)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 civil penalty pursuant to Iowa Code section </w:t>
      </w:r>
      <w:hyperlink r:id="rId40">
        <w:r>
          <w:rPr>
            <w:rStyle w:val="Hyperlink"/>
            <w:rFonts w:ascii="Times New Roman" w:hAnsi="Times New Roman"/>
            <w:b w:val="false"/>
            <w:i w:val="false"/>
            <w:color w:val="000000"/>
            <w:sz w:val="22"/>
          </w:rPr>
          <w:t>10A.903(2)</w:t>
        </w:r>
      </w:hyperlink>
      <w:r>
        <w:rPr>
          <w:rFonts w:ascii="Times New Roman" w:hAnsi="Times New Roman"/>
          <w:b w:val="false"/>
          <w:i w:val="false"/>
          <w:color w:val="000000"/>
          <w:sz w:val="22"/>
        </w:rPr>
        <w:t xml:space="preserve"> when it finds that a person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Failed or refused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or refused to establish, maintain, provide, copy, or permit access to records or reports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or refused to permit entry or inspection as described in subrule </w:t>
      </w:r>
      <w:hyperlink r:id="rId41">
        <w:r>
          <w:rPr>
            <w:rStyle w:val="Hyperlink"/>
            <w:rFonts w:ascii="Times New Roman" w:hAnsi="Times New Roman"/>
            <w:b w:val="false"/>
            <w:i w:val="false"/>
            <w:color w:val="000000"/>
            <w:sz w:val="22"/>
          </w:rPr>
          <w:t>469.14(1)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sent by the department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failed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may be submitted to the department using contact information as set forth in </w:t>
      </w:r>
      <w:hyperlink r:id="rId42">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The complainant should provide the name of the person who performs renovation, remodeling, or repainting for compensation in target housing or a child-occupied facility and specific details of the person’s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469.14(3)</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43">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the department will serve a written notice of violation upon the person charged. The notice of violation will specify the date or dates, facts, and the nature of the alleged act or omission with which the person is charged and will identify specifically the particular provision or provisions of the law, rule, regulation, or cease and desist order involved in the alleged violation and will state the amount of each proposed penalty. The notice of violation will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will advise the person charged that upon failure to pay a civil penalty subsequently determined by the department, if any, unless compromised, remitted, or mitigated, the fee may be collected by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20 days of the date of a notice of violation or other time specified in the notice, the person charged may either pay the penalty in the amount proposed, answer the notice of violation, or request a contested case hearing.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 If the person charged with a violation fails to answer within the time specified in paragraph </w:t>
      </w:r>
      <w:hyperlink r:id="rId44">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45">
        <w:r>
          <w:rPr>
            <w:rStyle w:val="Hyperlink"/>
            <w:rFonts w:ascii="Times New Roman" w:hAnsi="Times New Roman"/>
            <w:b w:val="false"/>
            <w:i w:val="false"/>
            <w:color w:val="000000"/>
            <w:sz w:val="22"/>
          </w:rPr>
          <w:t>469.14(3)</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person charged with a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contested case hearing. If the person charged with a violation timely requests a contested case hearing, it will be initiated and held in accordance with </w:t>
      </w:r>
      <w:hyperlink r:id="rId4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481—469.15</w:t>
      </w:r>
      <w:r>
        <w:rPr>
          <w:rFonts w:ascii="Times New Roman" w:hAnsi="Times New Roman"/>
          <w:b/>
          <w:i w:val="false"/>
          <w:color w:val="000000"/>
          <w:sz w:val="22"/>
        </w:rPr>
        <w:t xml:space="preserve">(10A)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Rules in this chapter are not subject to waiver pursuant to </w:t>
      </w:r>
      <w:hyperlink r:id="rId4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8907C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49">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1/23/98, Notice 10/22/97—published 2/11/98, effective 3/19/98]</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emergency 7/13/05 after Notice 5/25/05—published 8/3/05, effective 7/13/05]</w:t>
      </w:r>
    </w:p>
    <w:p>
      <w:pPr>
        <w:spacing w:before="0" w:after="0"/>
        <w:ind w:left="120"/>
        <w:jc w:val="center"/>
      </w:pPr>
      <w:r>
        <w:rPr>
          <w:rFonts w:ascii="Times New Roman" w:hAnsi="Times New Roman"/>
          <w:b w:val="false"/>
          <w:i w:val="false"/>
          <w:color w:val="000000"/>
          <w:sz w:val="21"/>
        </w:rPr>
        <w:t>[Filed Emergency After Notice ARC 8501B</w:t>
      </w:r>
      <w:r>
        <w:rPr>
          <w:rFonts w:ascii="Times New Roman" w:hAnsi="Times New Roman"/>
          <w:b w:val="false"/>
          <w:i w:val="false"/>
          <w:color w:val="000000"/>
          <w:sz w:val="21"/>
        </w:rPr>
        <w:t xml:space="preserve"> (Notice ARC 8355B, IAB 12/2/09)</w:t>
      </w:r>
      <w:r>
        <w:rPr>
          <w:rFonts w:ascii="Times New Roman" w:hAnsi="Times New Roman"/>
          <w:b w:val="false"/>
          <w:i w:val="false"/>
          <w:color w:val="000000"/>
          <w:sz w:val="21"/>
        </w:rPr>
        <w:t>, IAB 2/10/10, effective 1/13/10]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5684C</w:t>
      </w:r>
      <w:r>
        <w:rPr>
          <w:rFonts w:ascii="Times New Roman" w:hAnsi="Times New Roman"/>
          <w:b w:val="false"/>
          <w:i w:val="false"/>
          <w:color w:val="000000"/>
          <w:sz w:val="21"/>
        </w:rPr>
        <w:t xml:space="preserve"> (Notice ARC 5519C,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8907C</w:t>
      </w:r>
      <w:r>
        <w:rPr>
          <w:rFonts w:ascii="Times New Roman" w:hAnsi="Times New Roman"/>
          <w:b w:val="false"/>
          <w:i w:val="false"/>
          <w:color w:val="000000"/>
          <w:sz w:val="21"/>
        </w:rPr>
        <w:t xml:space="preserve"> (Notice ARC 8671C,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8/5/26]</w:t>
      </w:r>
    </w:p>
    <w:p>
      <w:pPr>
        <w:spacing w:before="0" w:after="0"/>
        <w:ind w:left="120"/>
        <w:jc w:val="center"/>
      </w:pPr>
      <w:r>
        <w:rPr>
          <w:rFonts w:ascii="Times New Roman" w:hAnsi="Times New Roman"/>
          <w:b w:val="false"/>
          <w:i w:val="false"/>
          <w:color w:val="000000"/>
          <w:sz w:val="21"/>
        </w:rPr>
        <w:t>[Filed ARC 0594D</w:t>
      </w:r>
      <w:r>
        <w:rPr>
          <w:rFonts w:ascii="Times New Roman" w:hAnsi="Times New Roman"/>
          <w:b w:val="false"/>
          <w:i w:val="false"/>
          <w:color w:val="000000"/>
          <w:sz w:val="21"/>
        </w:rPr>
        <w:t xml:space="preserve"> (Notice ARC 0446D, IAB 7/22/26)</w:t>
      </w:r>
      <w:r>
        <w:rPr>
          <w:rFonts w:ascii="Times New Roman" w:hAnsi="Times New Roman"/>
          <w:b w:val="false"/>
          <w:i w:val="false"/>
          <w:color w:val="000000"/>
          <w:sz w:val="21"/>
        </w:rPr>
        <w:t>, IAB 9/16/26, effective 10/21/26]</w:t>
      </w:r>
    </w:p>
    <w:sectPr>
      <w:footerReference r:id="rId5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903.pdf" Type="http://schemas.openxmlformats.org/officeDocument/2006/relationships/hyperlink" Id="rId5"/>
    <Relationship TargetMode="External" Target="https://www.legis.iowa.gov/docs/iac/rule/481.470.2.pdf" Type="http://schemas.openxmlformats.org/officeDocument/2006/relationships/hyperlink" Id="rId6"/>
    <Relationship TargetMode="External" Target="https://www.legis.iowa.gov/docs/iac/rule/481.470.2.pdf" Type="http://schemas.openxmlformats.org/officeDocument/2006/relationships/hyperlink" Id="rId7"/>
    <Relationship TargetMode="External" Target="https://www.legis.iowa.gov/docs/ico/chapter/10A.903.pdf" Type="http://schemas.openxmlformats.org/officeDocument/2006/relationships/hyperlink" Id="rId8"/>
    <Relationship TargetMode="External" Target="https://www.legis.iowa.gov/docs/iac/rule/481.469.3.pdf" Type="http://schemas.openxmlformats.org/officeDocument/2006/relationships/hyperlink" Id="rId9"/>
    <Relationship TargetMode="External" Target="https://www.legis.iowa.gov/docs/iac/rule/481.469.3.pdf" Type="http://schemas.openxmlformats.org/officeDocument/2006/relationships/hyperlink" Id="rId10"/>
    <Relationship TargetMode="External" Target="https://www.legis.iowa.gov/docs/iac/rule/481.469.4.pdf" Type="http://schemas.openxmlformats.org/officeDocument/2006/relationships/hyperlink" Id="rId11"/>
    <Relationship TargetMode="External" Target="https://www.legis.iowa.gov/docs/iac/rule/481.469.3.pdf" Type="http://schemas.openxmlformats.org/officeDocument/2006/relationships/hyperlink" Id="rId12"/>
    <Relationship TargetMode="External" Target="https://www.legis.iowa.gov/docs/iac/rule/481.469.3.pdf" Type="http://schemas.openxmlformats.org/officeDocument/2006/relationships/hyperlink" Id="rId13"/>
    <Relationship TargetMode="External" Target="https://www.legis.iowa.gov/docs/iac/rule/481.469.3.pdf" Type="http://schemas.openxmlformats.org/officeDocument/2006/relationships/hyperlink" Id="rId14"/>
    <Relationship TargetMode="External" Target="https://www.legis.iowa.gov/docs/iac/rule/481.469.3.pdf" Type="http://schemas.openxmlformats.org/officeDocument/2006/relationships/hyperlink" Id="rId15"/>
    <Relationship TargetMode="External" Target="https://www.legis.iowa.gov/docs/iac/rule/481.469.3.pdf" Type="http://schemas.openxmlformats.org/officeDocument/2006/relationships/hyperlink" Id="rId16"/>
    <Relationship TargetMode="External" Target="https://www.legis.iowa.gov/docs/iac/rule/481.469.3.pdf" Type="http://schemas.openxmlformats.org/officeDocument/2006/relationships/hyperlink" Id="rId17"/>
    <Relationship TargetMode="External" Target="https://www.legis.iowa.gov/docs/iac/rule/481.469.3.pdf" Type="http://schemas.openxmlformats.org/officeDocument/2006/relationships/hyperlink" Id="rId18"/>
    <Relationship TargetMode="External" Target="https://www.legis.iowa.gov/docs/iac/rule/481.469.3.pdf" Type="http://schemas.openxmlformats.org/officeDocument/2006/relationships/hyperlink" Id="rId19"/>
    <Relationship TargetMode="External" Target="https://www.legis.iowa.gov/docs/iac/rule/481.469.3.pdf" Type="http://schemas.openxmlformats.org/officeDocument/2006/relationships/hyperlink" Id="rId20"/>
    <Relationship TargetMode="External" Target="https://www.legis.iowa.gov/docs/iac/rule/481.469.3.pdf" Type="http://schemas.openxmlformats.org/officeDocument/2006/relationships/hyperlink" Id="rId21"/>
    <Relationship TargetMode="External" Target="https://www.legis.iowa.gov/docs/iac/rule/481.469.3.pdf" Type="http://schemas.openxmlformats.org/officeDocument/2006/relationships/hyperlink" Id="rId22"/>
    <Relationship TargetMode="External" Target="https://www.legis.iowa.gov/docs/iac/rule/481.469.7.pdf" Type="http://schemas.openxmlformats.org/officeDocument/2006/relationships/hyperlink" Id="rId23"/>
    <Relationship TargetMode="External" Target="https://www.legis.iowa.gov/docs/iac/rule/481.469.7.pdf" Type="http://schemas.openxmlformats.org/officeDocument/2006/relationships/hyperlink" Id="rId24"/>
    <Relationship TargetMode="External" Target="https://www.legis.iowa.gov/docs/iac/rule/481.469.8.pdf" Type="http://schemas.openxmlformats.org/officeDocument/2006/relationships/hyperlink" Id="rId25"/>
    <Relationship TargetMode="External" Target="https://www.legis.iowa.gov/docs/iac/rule/481.469.8.pdf" Type="http://schemas.openxmlformats.org/officeDocument/2006/relationships/hyperlink" Id="rId26"/>
    <Relationship TargetMode="External" Target="https://www.legis.iowa.gov/docs/iac/rule/481.469.3.pdf" Type="http://schemas.openxmlformats.org/officeDocument/2006/relationships/hyperlink" Id="rId27"/>
    <Relationship TargetMode="External" Target="https://www.legis.iowa.gov/docs/iac/rule/481.469.3.pdf" Type="http://schemas.openxmlformats.org/officeDocument/2006/relationships/hyperlink" Id="rId28"/>
    <Relationship TargetMode="External" Target="https://www.legis.iowa.gov/docs/iac/rule/481.469.4.pdf" Type="http://schemas.openxmlformats.org/officeDocument/2006/relationships/hyperlink" Id="rId29"/>
    <Relationship TargetMode="External" Target="https://www.legis.iowa.gov/docs/iac/rule/481.469.5.pdf" Type="http://schemas.openxmlformats.org/officeDocument/2006/relationships/hyperlink" Id="rId30"/>
    <Relationship TargetMode="External" Target="https://www.legis.iowa.gov/docs/iac/rule/481.469.6.pdf" Type="http://schemas.openxmlformats.org/officeDocument/2006/relationships/hyperlink" Id="rId31"/>
    <Relationship TargetMode="External" Target="https://www.legis.iowa.gov/docs/iac/chapter/481.470.pdf" Type="http://schemas.openxmlformats.org/officeDocument/2006/relationships/hyperlink" Id="rId32"/>
    <Relationship TargetMode="External" Target="https://www.legis.iowa.gov/docs/iac/rule/481.469.3.pdf" Type="http://schemas.openxmlformats.org/officeDocument/2006/relationships/hyperlink" Id="rId33"/>
    <Relationship TargetMode="External" Target="https://www.legis.iowa.gov/docs/iac/rule/481.469.4.pdf" Type="http://schemas.openxmlformats.org/officeDocument/2006/relationships/hyperlink" Id="rId34"/>
    <Relationship TargetMode="External" Target="https://www.legis.iowa.gov/docs/iac/rule/481.469.7.pdf" Type="http://schemas.openxmlformats.org/officeDocument/2006/relationships/hyperlink" Id="rId35"/>
    <Relationship TargetMode="External" Target="https://www.legis.iowa.gov/docs/iac/chapter/481.470.pdf" Type="http://schemas.openxmlformats.org/officeDocument/2006/relationships/hyperlink" Id="rId36"/>
    <Relationship TargetMode="External" Target="https://www.legis.iowa.gov/docs/iac/rule/481.469.6.pdf" Type="http://schemas.openxmlformats.org/officeDocument/2006/relationships/hyperlink" Id="rId37"/>
    <Relationship TargetMode="External" Target="https://www.legis.iowa.gov/docs/iac/rule/481.469.3.pdf" Type="http://schemas.openxmlformats.org/officeDocument/2006/relationships/hyperlink" Id="rId38"/>
    <Relationship TargetMode="External" Target="https://www.legis.iowa.gov/docs/iac/rule/481.469.4.pdf" Type="http://schemas.openxmlformats.org/officeDocument/2006/relationships/hyperlink" Id="rId39"/>
    <Relationship TargetMode="External" Target="https://www.legis.iowa.gov/docs/ico/chapter/10A.903.pdf" Type="http://schemas.openxmlformats.org/officeDocument/2006/relationships/hyperlink" Id="rId40"/>
    <Relationship TargetMode="External" Target="https://www.legis.iowa.gov/docs/iac/rule/481.469.14.pdf" Type="http://schemas.openxmlformats.org/officeDocument/2006/relationships/hyperlink" Id="rId41"/>
    <Relationship TargetMode="External" Target="https://www.legis.iowa.gov/docs/iac/chapter/481.1.pdf" Type="http://schemas.openxmlformats.org/officeDocument/2006/relationships/hyperlink" Id="rId42"/>
    <Relationship TargetMode="External" Target="https://www.legis.iowa.gov/docs/ico/chapter/10A.903.pdf" Type="http://schemas.openxmlformats.org/officeDocument/2006/relationships/hyperlink" Id="rId43"/>
    <Relationship TargetMode="External" Target="https://www.legis.iowa.gov/docs/iac/rule/481.469.14.pdf" Type="http://schemas.openxmlformats.org/officeDocument/2006/relationships/hyperlink" Id="rId44"/>
    <Relationship TargetMode="External" Target="https://www.legis.iowa.gov/docs/iac/rule/481.469.14.pdf" Type="http://schemas.openxmlformats.org/officeDocument/2006/relationships/hyperlink" Id="rId45"/>
    <Relationship TargetMode="External" Target="https://www.legis.iowa.gov/docs/iac/chapter/7.2506.pdf" Type="http://schemas.openxmlformats.org/officeDocument/2006/relationships/hyperlink" Id="rId46"/>
    <Relationship TargetMode="External" Target="https://www.legis.iowa.gov/docs/iac/chapter/481.10.pdf" Type="http://schemas.openxmlformats.org/officeDocument/2006/relationships/hyperlink" Id="rId47"/>
    <Relationship TargetMode="External" Target="https://www.legis.iowa.gov/docs/iac/chapter/7.2504.pdf" Type="http://schemas.openxmlformats.org/officeDocument/2006/relationships/hyperlink" Id="rId48"/>
    <Relationship TargetMode="External" Target="https://www.legis.iowa.gov/docs/ico/chapter/10A.903.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