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BUILDING AND CONSTRUCTION DIVISION: ENVIRONMENTAL HEALTH AND CONTRACTOR BUREAU</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465</w:t>
      </w:r>
    </w:p>
    <w:p>
      <w:pPr>
        <w:spacing w:before="0" w:after="0"/>
        <w:ind w:left="120"/>
        <w:jc w:val="center"/>
      </w:pPr>
      <w:r>
        <w:rPr>
          <w:rFonts w:ascii="Times New Roman" w:hAnsi="Times New Roman"/>
          <w:b w:val="false"/>
          <w:i w:val="false"/>
          <w:color w:val="000000"/>
          <w:sz w:val="21"/>
        </w:rPr>
        <w:t>CONSTRUCTION CONTRACTOR REGISTRATION</w:t>
      </w:r>
    </w:p>
    <w:p>
      <w:pPr>
        <w:spacing w:before="0" w:after="0"/>
        <w:ind w:left="120"/>
        <w:jc w:val="center"/>
      </w:pPr>
      <w:r>
        <w:rPr>
          <w:rFonts w:ascii="Times New Roman" w:hAnsi="Times New Roman"/>
          <w:b w:val="false"/>
          <w:i w:val="false"/>
          <w:color w:val="000000"/>
          <w:sz w:val="14"/>
        </w:rPr>
        <w:t>[Prior to 10/21/98, see 347—Ch 150]</w:t>
      </w:r>
    </w:p>
    <w:p>
      <w:pPr>
        <w:spacing w:before="0" w:after="0"/>
        <w:ind w:left="120"/>
        <w:jc w:val="center"/>
      </w:pPr>
      <w:r>
        <w:rPr>
          <w:rFonts w:ascii="Times New Roman" w:hAnsi="Times New Roman"/>
          <w:b w:val="false"/>
          <w:i w:val="false"/>
          <w:color w:val="000000"/>
          <w:sz w:val="14"/>
        </w:rPr>
        <w:t>[Prior to 7/9/25, see Labor Services Division[875] Ch 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481—465.1</w:t>
      </w:r>
      <w:r>
        <w:rPr>
          <w:rFonts w:ascii="Times New Roman" w:hAnsi="Times New Roman"/>
          <w:b/>
          <w:i w:val="false"/>
          <w:color w:val="000000"/>
          <w:sz w:val="22"/>
        </w:rPr>
        <w:t xml:space="preserve">(91C)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implements Iowa Code chapter </w:t>
      </w:r>
      <w:hyperlink r:id="rId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The rules in this chapter apply to all construction contractors, except for a person who earns less than $2,000 annually or who performs work or has work performed on the person’s own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481—465.2</w:t>
      </w:r>
      <w:r>
        <w:rPr>
          <w:rFonts w:ascii="Times New Roman" w:hAnsi="Times New Roman"/>
          <w:b/>
          <w:i w:val="false"/>
          <w:color w:val="000000"/>
          <w:sz w:val="22"/>
        </w:rPr>
        <w:t xml:space="preserve">(91C)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means new work, additions, alterations, reconstruction, installations, repairs and demolitions. Construction activities are generally administered or managed from a relatively fixed place of business, but the actual construction work is performed at one or more different sites that may be dispersed geographically. Examples of construction activities, adopted by reference, are in rule </w:t>
      </w:r>
      <w:hyperlink r:id="rId6">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a person who engages in the business of construction as the term is defined in rule </w:t>
      </w:r>
      <w:hyperlink r:id="rId7">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 including subcontractors and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w:t>
      </w:r>
      <w:r>
        <w:rPr>
          <w:rFonts w:ascii="Times New Roman" w:hAnsi="Times New Roman"/>
          <w:b w:val="false"/>
          <w:i w:val="false"/>
          <w:color w:val="000000"/>
          <w:sz w:val="22"/>
        </w:rPr>
        <w:t>means deliver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w:t>
      </w:r>
      <w:r>
        <w:rPr>
          <w:rFonts w:ascii="Times New Roman" w:hAnsi="Times New Roman"/>
          <w:b w:val="false"/>
          <w:i w:val="false"/>
          <w:color w:val="000000"/>
          <w:sz w:val="22"/>
        </w:rPr>
        <w:t>means a contractor whose principal place of business is in another state, and who contracts to perform construction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the state in which a substantial part of the contractor’s business is transacted and from which the centralized supervision is exercised. Factors to be reviewed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designated as home office on documents filed with governmental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where payroll is prepared.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where business transactions are performed.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where officers, owners, or partners reside and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 in which bank accounts are located.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 in which fixed business property is located.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where management decisions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“Same phase of construction” </w:t>
      </w:r>
      <w:r>
        <w:rPr>
          <w:rFonts w:ascii="Times New Roman" w:hAnsi="Times New Roman"/>
          <w:b w:val="false"/>
          <w:i w:val="false"/>
          <w:color w:val="000000"/>
          <w:sz w:val="22"/>
        </w:rPr>
        <w:t>means in the same type of construction operations or trade, such as but not limited to electrical work; masonry, stonework, tile setting and plastering; roofing; sheet metal work; excavation work; concrete work; glasswork; painting, paper hanging and decorating; plumbing, heating and air conditioning work; carpentry work; and miscellaneous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not Saturdays, Sundays or federal or state holidays. In computing 15 working days, the day of receipt of any notice is not to be included, and the last day of the 15 working days is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481—465.3</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Before performing any construction work in this state, a contractor shall be registered with the department. A joint venture is an independent entity and is registered independently.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481—465.4</w:t>
      </w:r>
      <w:r>
        <w:rPr>
          <w:rFonts w:ascii="Times New Roman" w:hAnsi="Times New Roman"/>
          <w:b/>
          <w:i w:val="false"/>
          <w:color w:val="000000"/>
          <w:sz w:val="22"/>
        </w:rPr>
        <w:t xml:space="preserve">(91C)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 contractor that is covered by the license requirements of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for a contractor registration number by using the application system of the Iowa plumbing and mechanical systems board. All other contractors file an application with the department on forms provided by the department. The application contains the applicable information and documents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name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465.4(2)</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complete mailing address of the principal place of business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465.4(3)</w:t>
      </w:r>
      <w:r>
        <w:rPr>
          <w:rFonts w:ascii="Times New Roman" w:hAnsi="Times New Roman"/>
          <w:b w:val="false"/>
          <w:i w:val="false"/>
          <w:color w:val="000000"/>
          <w:sz w:val="22"/>
        </w:rPr>
        <w:t> </w:t>
      </w:r>
      <w:r>
        <w:rPr>
          <w:rFonts w:ascii="Times New Roman" w:hAnsi="Times New Roman"/>
          <w:b w:val="false"/>
          <w:i/>
          <w:color w:val="000000"/>
          <w:sz w:val="22"/>
        </w:rPr>
        <w:t xml:space="preserve">Telephone number. </w:t>
      </w:r>
      <w:r>
        <w:rPr>
          <w:rFonts w:ascii="Times New Roman" w:hAnsi="Times New Roman"/>
          <w:b w:val="false"/>
          <w:i w:val="false"/>
          <w:color w:val="000000"/>
          <w:sz w:val="22"/>
        </w:rPr>
        <w:t>The business telephone number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465.4(4)</w:t>
      </w:r>
      <w:r>
        <w:rPr>
          <w:rFonts w:ascii="Times New Roman" w:hAnsi="Times New Roman"/>
          <w:b w:val="false"/>
          <w:i w:val="false"/>
          <w:color w:val="000000"/>
          <w:sz w:val="22"/>
        </w:rPr>
        <w:t> </w:t>
      </w:r>
      <w:r>
        <w:rPr>
          <w:rFonts w:ascii="Times New Roman" w:hAnsi="Times New Roman"/>
          <w:b w:val="false"/>
          <w:i/>
          <w:color w:val="000000"/>
          <w:sz w:val="22"/>
        </w:rPr>
        <w:t xml:space="preserve">Business classification. </w:t>
      </w:r>
      <w:r>
        <w:rPr>
          <w:rFonts w:ascii="Times New Roman" w:hAnsi="Times New Roman"/>
          <w:b w:val="false"/>
          <w:i w:val="false"/>
          <w:color w:val="000000"/>
          <w:sz w:val="22"/>
        </w:rPr>
        <w:t>The type of business entity of the contractor (e.g., corporation, partnership, sole proprietorship, trust,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465.4(5)</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contractor is a corporation, the name, address, telephone number, and position of each officer of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contractor is other than a corporation, the name, address, and telephone number of each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465.4(6)</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coverage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from the insurer showing proof of workers’ compensation insurance, the effective dates of coverage, and listing the department of inspections, appeals, and licensing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Employer’s release from the insurance requirements under workers’ compensation law form provided to self-insured employers by the commissioner of insurance under Iowa Code section </w:t>
      </w:r>
      <w:hyperlink r:id="rId9">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contractor is not required to carry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465.4(7)</w:t>
      </w:r>
      <w:r>
        <w:rPr>
          <w:rFonts w:ascii="Times New Roman" w:hAnsi="Times New Roman"/>
          <w:b w:val="false"/>
          <w:i w:val="false"/>
          <w:color w:val="000000"/>
          <w:sz w:val="22"/>
        </w:rPr>
        <w:t> </w:t>
      </w:r>
      <w:r>
        <w:rPr>
          <w:rFonts w:ascii="Times New Roman" w:hAnsi="Times New Roman"/>
          <w:b w:val="false"/>
          <w:i/>
          <w:color w:val="000000"/>
          <w:sz w:val="22"/>
        </w:rPr>
        <w:t xml:space="preserve">Account number. </w:t>
      </w:r>
      <w:r>
        <w:rPr>
          <w:rFonts w:ascii="Times New Roman" w:hAnsi="Times New Roman"/>
          <w:b w:val="false"/>
          <w:i w:val="false"/>
          <w:color w:val="000000"/>
          <w:sz w:val="22"/>
        </w:rPr>
        <w:t>The employer account number issued by the unemployment insurance services division of the workforce development department before the contractor applies for a contractor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465.4(8)</w:t>
      </w:r>
      <w:r>
        <w:rPr>
          <w:rFonts w:ascii="Times New Roman" w:hAnsi="Times New Roman"/>
          <w:b w:val="false"/>
          <w:i w:val="false"/>
          <w:color w:val="000000"/>
          <w:sz w:val="22"/>
        </w:rPr>
        <w:t> </w:t>
      </w:r>
      <w:r>
        <w:rPr>
          <w:rFonts w:ascii="Times New Roman" w:hAnsi="Times New Roman"/>
          <w:b w:val="false"/>
          <w:i/>
          <w:color w:val="000000"/>
          <w:sz w:val="22"/>
        </w:rPr>
        <w:t xml:space="preserve">Business description. </w:t>
      </w:r>
      <w:r>
        <w:rPr>
          <w:rFonts w:ascii="Times New Roman" w:hAnsi="Times New Roman"/>
          <w:b w:val="false"/>
          <w:i w:val="false"/>
          <w:color w:val="000000"/>
          <w:sz w:val="22"/>
        </w:rPr>
        <w:t>A description of the business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North American Industry Classification System (NAICS)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principal products and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465.4(9)</w:t>
      </w:r>
      <w:r>
        <w:rPr>
          <w:rFonts w:ascii="Times New Roman" w:hAnsi="Times New Roman"/>
          <w:b w:val="false"/>
          <w:i w:val="false"/>
          <w:color w:val="000000"/>
          <w:sz w:val="22"/>
        </w:rPr>
        <w:t> </w:t>
      </w:r>
      <w:r>
        <w:rPr>
          <w:rFonts w:ascii="Times New Roman" w:hAnsi="Times New Roman"/>
          <w:b w:val="false"/>
          <w:i/>
          <w:color w:val="000000"/>
          <w:sz w:val="22"/>
        </w:rPr>
        <w:t xml:space="preserve">Fee or fee exemption. </w:t>
      </w:r>
      <w:r>
        <w:rPr>
          <w:rFonts w:ascii="Times New Roman" w:hAnsi="Times New Roman"/>
          <w:b w:val="false"/>
          <w:i w:val="false"/>
          <w:color w:val="000000"/>
          <w:sz w:val="22"/>
        </w:rPr>
        <w:t>A contractor who is eligible to register without paying a fee shall submit a completed fee exemption form. All other contractors must submit the nonrefundable fee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fee is $50 per year or $150 for a three-year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Contractors who apply for a contractor registration number through the Iowa plumbing and mechanical systems board must pay a fee that is prorated in accordance with the length of the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465.4(10)</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The contractor, if a natural person, shall include the contractor’s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465.4(11)</w:t>
      </w: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bond. </w:t>
      </w:r>
      <w:r>
        <w:rPr>
          <w:rFonts w:ascii="Times New Roman" w:hAnsi="Times New Roman"/>
          <w:b w:val="false"/>
          <w:i w:val="false"/>
          <w:color w:val="000000"/>
          <w:sz w:val="22"/>
        </w:rPr>
        <w:t>An out-of-state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 $25,000 surety bond that is prepared using the bond form provided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letter from the department of transportation stating that the contractor is prequalified to bid on projects for the department of transportation pursuant to Iowa Code section </w:t>
      </w:r>
      <w:hyperlink r:id="rId10">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481—465.5</w:t>
      </w:r>
      <w:r>
        <w:rPr>
          <w:rFonts w:ascii="Times New Roman" w:hAnsi="Times New Roman"/>
          <w:b/>
          <w:i w:val="false"/>
          <w:color w:val="000000"/>
          <w:sz w:val="22"/>
        </w:rPr>
        <w:t xml:space="preserve">(91C) </w:t>
      </w:r>
      <w:r>
        <w:rPr>
          <w:rFonts w:ascii="Times New Roman" w:hAnsi="Times New Roman"/>
          <w:b/>
          <w:i w:val="false"/>
          <w:color w:val="000000"/>
          <w:sz w:val="22"/>
        </w:rPr>
        <w:t xml:space="preserve">Amendments to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465.5(1)</w:t>
      </w:r>
      <w:r>
        <w:rPr>
          <w:rFonts w:ascii="Times New Roman" w:hAnsi="Times New Roman"/>
          <w:b w:val="false"/>
          <w:i w:val="false"/>
          <w:color w:val="000000"/>
          <w:sz w:val="22"/>
        </w:rPr>
        <w:t> </w:t>
      </w:r>
      <w:r>
        <w:rPr>
          <w:rFonts w:ascii="Times New Roman" w:hAnsi="Times New Roman"/>
          <w:b w:val="false"/>
          <w:i w:val="false"/>
          <w:color w:val="000000"/>
          <w:sz w:val="22"/>
        </w:rPr>
        <w:t>A contractor shall report to the director any change in the information originally reported on or with the application within 15 working days of the change, except that the contractor shall notify the director of changes to workers’ compensation coverage within ten days prior to any change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time specified in subrule </w:t>
      </w:r>
      <w:hyperlink r:id="rId11">
        <w:r>
          <w:rPr>
            <w:rStyle w:val="Hyperlink"/>
            <w:rFonts w:ascii="Times New Roman" w:hAnsi="Times New Roman"/>
            <w:b w:val="false"/>
            <w:i w:val="false"/>
            <w:color w:val="000000"/>
            <w:sz w:val="22"/>
          </w:rPr>
          <w:t>465.5(1)</w:t>
        </w:r>
      </w:hyperlink>
      <w:r>
        <w:rPr>
          <w:rFonts w:ascii="Times New Roman" w:hAnsi="Times New Roman"/>
          <w:b w:val="false"/>
          <w:i w:val="false"/>
          <w:color w:val="000000"/>
          <w:sz w:val="22"/>
        </w:rPr>
        <w:t>, with good cause shown, the director may determine that an amendment may be made to correct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465.5(3)</w:t>
      </w:r>
      <w:r>
        <w:rPr>
          <w:rFonts w:ascii="Times New Roman" w:hAnsi="Times New Roman"/>
          <w:b w:val="false"/>
          <w:i w:val="false"/>
          <w:color w:val="000000"/>
          <w:sz w:val="22"/>
        </w:rPr>
        <w:t> </w:t>
      </w:r>
      <w:r>
        <w:rPr>
          <w:rFonts w:ascii="Times New Roman" w:hAnsi="Times New Roman"/>
          <w:b w:val="false"/>
          <w:i w:val="false"/>
          <w:color w:val="000000"/>
          <w:sz w:val="22"/>
        </w:rPr>
        <w:t>Amendments to applications are not permitted where a change occurs in the business classification, such as but not limited to a change from a sole proprietorship to a corporation.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481—465.6</w:t>
      </w:r>
      <w:r>
        <w:rPr>
          <w:rFonts w:ascii="Times New Roman" w:hAnsi="Times New Roman"/>
          <w:b/>
          <w:i w:val="false"/>
          <w:color w:val="000000"/>
          <w:sz w:val="22"/>
        </w:rPr>
        <w:t xml:space="preserve">(91C) </w:t>
      </w:r>
      <w:r>
        <w:rPr>
          <w:rFonts w:ascii="Times New Roman" w:hAnsi="Times New Roman"/>
          <w:b/>
          <w:i w:val="false"/>
          <w:color w:val="000000"/>
          <w:sz w:val="22"/>
        </w:rPr>
        <w:t xml:space="preserve">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465.6(1)</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w:t>
      </w:r>
      <w:r>
        <w:rPr>
          <w:rFonts w:ascii="Times New Roman" w:hAnsi="Times New Roman"/>
          <w:b w:val="false"/>
          <w:i w:val="false"/>
          <w:color w:val="000000"/>
          <w:sz w:val="22"/>
        </w:rPr>
        <w:t>A new application deposited in the U.S. mail must include the fee effective on the date the application is postmarked. A new application delivered in any other manner must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applications. </w:t>
      </w:r>
      <w:r>
        <w:rPr>
          <w:rFonts w:ascii="Times New Roman" w:hAnsi="Times New Roman"/>
          <w:b w:val="false"/>
          <w:i w:val="false"/>
          <w:color w:val="000000"/>
          <w:sz w:val="22"/>
        </w:rPr>
        <w:t>A timely renewal application shall include the fee effective on the expiration date of the contractor’s expiring registration. An application for renewal deposited in the U.S. mail after the expiration date of the contractor’s expiring registration shall include the fee effective on the date the application is postmarked. An application for renewal delivered to the department in a manner other than U.S. mail and after the expiration date of the contractor’s expiring registration shall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465.6(3)</w:t>
      </w:r>
      <w:r>
        <w:rPr>
          <w:rFonts w:ascii="Times New Roman" w:hAnsi="Times New Roman"/>
          <w:b w:val="false"/>
          <w:i w:val="false"/>
          <w:color w:val="000000"/>
          <w:sz w:val="22"/>
        </w:rPr>
        <w:t> </w:t>
      </w:r>
      <w:r>
        <w:rPr>
          <w:rFonts w:ascii="Times New Roman" w:hAnsi="Times New Roman"/>
          <w:b w:val="false"/>
          <w:i/>
          <w:color w:val="000000"/>
          <w:sz w:val="22"/>
        </w:rPr>
        <w:t xml:space="preserve">Amendments to applications. </w:t>
      </w:r>
      <w:r>
        <w:rPr>
          <w:rFonts w:ascii="Times New Roman" w:hAnsi="Times New Roman"/>
          <w:b w:val="false"/>
          <w:i w:val="false"/>
          <w:color w:val="000000"/>
          <w:sz w:val="22"/>
        </w:rPr>
        <w:t>A fee is not required for a permissible amendment to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481—465.7</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number issuance. </w:t>
      </w:r>
      <w:r>
        <w:rPr>
          <w:rFonts w:ascii="Times New Roman" w:hAnsi="Times New Roman"/>
          <w:b w:val="false"/>
          <w:i w:val="false"/>
          <w:color w:val="000000"/>
          <w:sz w:val="22"/>
        </w:rPr>
        <w:t>Within 30 days of receipt of a completed application, the director will issue to the contractor a registration number. The registration number will consist of the letter “C” followed by six unique digits.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481—465.8</w:t>
      </w:r>
      <w:r>
        <w:rPr>
          <w:rFonts w:ascii="Times New Roman" w:hAnsi="Times New Roman"/>
          <w:b/>
          <w:i w:val="false"/>
          <w:color w:val="000000"/>
          <w:sz w:val="22"/>
        </w:rPr>
        <w:t xml:space="preserve">(91C) </w:t>
      </w:r>
      <w:r>
        <w:rPr>
          <w:rFonts w:ascii="Times New Roman" w:hAnsi="Times New Roman"/>
          <w:b/>
          <w:i w:val="false"/>
          <w:color w:val="000000"/>
          <w:sz w:val="22"/>
        </w:rPr>
        <w:t xml:space="preserve">Workers’ compensation insurance cancellation 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465.8(1)</w:t>
      </w:r>
      <w:r>
        <w:rPr>
          <w:rFonts w:ascii="Times New Roman" w:hAnsi="Times New Roman"/>
          <w:b w:val="false"/>
          <w:i w:val="false"/>
          <w:color w:val="000000"/>
          <w:sz w:val="22"/>
        </w:rPr>
        <w:t> </w:t>
      </w:r>
      <w:r>
        <w:rPr>
          <w:rFonts w:ascii="Times New Roman" w:hAnsi="Times New Roman"/>
          <w:b w:val="false"/>
          <w:i/>
          <w:color w:val="000000"/>
          <w:sz w:val="22"/>
        </w:rPr>
        <w:t xml:space="preserve">Insurance company coverage. </w:t>
      </w:r>
      <w:r>
        <w:rPr>
          <w:rFonts w:ascii="Times New Roman" w:hAnsi="Times New Roman"/>
          <w:b w:val="false"/>
          <w:i w:val="false"/>
          <w:color w:val="000000"/>
          <w:sz w:val="22"/>
        </w:rPr>
        <w:t>The department shall be notified by the insurance company carrying the contractor’s workers’ compensation insurance at the time of cancellation. The notice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insurance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 contractor;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workers’ compensation coverage cancellation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465.8(2)</w:t>
      </w:r>
      <w:r>
        <w:rPr>
          <w:rFonts w:ascii="Times New Roman" w:hAnsi="Times New Roman"/>
          <w:b w:val="false"/>
          <w:i w:val="false"/>
          <w:color w:val="000000"/>
          <w:sz w:val="22"/>
        </w:rPr>
        <w:t> </w:t>
      </w:r>
      <w:r>
        <w:rPr>
          <w:rFonts w:ascii="Times New Roman" w:hAnsi="Times New Roman"/>
          <w:b w:val="false"/>
          <w:i/>
          <w:color w:val="000000"/>
          <w:sz w:val="22"/>
        </w:rPr>
        <w:t xml:space="preserve">Self-insured contractors. </w:t>
      </w:r>
      <w:r>
        <w:rPr>
          <w:rFonts w:ascii="Times New Roman" w:hAnsi="Times New Roman"/>
          <w:b w:val="false"/>
          <w:i w:val="false"/>
          <w:color w:val="000000"/>
          <w:sz w:val="22"/>
        </w:rPr>
        <w:t>The contractor shall notify the department ten days prior to any cessation in self-insurance.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465.8(3)</w:t>
      </w:r>
      <w:r>
        <w:rPr>
          <w:rFonts w:ascii="Times New Roman" w:hAnsi="Times New Roman"/>
          <w:b w:val="false"/>
          <w:i w:val="false"/>
          <w:color w:val="000000"/>
          <w:sz w:val="22"/>
        </w:rPr>
        <w:t> </w:t>
      </w:r>
      <w:r>
        <w:rPr>
          <w:rFonts w:ascii="Times New Roman" w:hAnsi="Times New Roman"/>
          <w:b w:val="false"/>
          <w:i/>
          <w:color w:val="000000"/>
          <w:sz w:val="22"/>
        </w:rPr>
        <w:t xml:space="preserve">Noninsured contractors. </w:t>
      </w:r>
      <w:r>
        <w:rPr>
          <w:rFonts w:ascii="Times New Roman" w:hAnsi="Times New Roman"/>
          <w:b w:val="false"/>
          <w:i w:val="false"/>
          <w:color w:val="000000"/>
          <w:sz w:val="22"/>
        </w:rPr>
        <w:t>The contractor shall notify the department whenever the required notice is not posted or in any change in insurance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481—465.9</w:t>
      </w:r>
      <w:r>
        <w:rPr>
          <w:rFonts w:ascii="Times New Roman" w:hAnsi="Times New Roman"/>
          <w:b/>
          <w:i w:val="false"/>
          <w:color w:val="000000"/>
          <w:sz w:val="22"/>
        </w:rPr>
        <w:t xml:space="preserve">(91C) </w:t>
      </w:r>
      <w:r>
        <w:rPr>
          <w:rFonts w:ascii="Times New Roman" w:hAnsi="Times New Roman"/>
          <w:b/>
          <w:i w:val="false"/>
          <w:color w:val="000000"/>
          <w:sz w:val="22"/>
        </w:rPr>
        <w:t xml:space="preserve">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465.9(1)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conduct of the investigation will be such as to preclude unreasonable disruption of the operations of the work site. Investigations may be conducted without prior notice by correspondence, telephone conversations, or review of materials submitted to the department. At the initiation of an investigation at the contractor’s establishment, the investigator shall present credentials, explain the nature and purpose of the investigation, and seek the consent of the owner, operator or agent in charge of the establishment. In the event the investigator is not permitted to fully conduct an investigation, the director may seek an administrative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465.9(2)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 complainant’s name and other identifying information shall not be released if the complaint was included as a part of another complaint where the complainant’s identity would be protected under other statutes or rules (e.g., a complaint filed under both Iowa Code chapters </w:t>
      </w:r>
      <w:hyperlink r:id="rId12">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481—465.10</w:t>
      </w:r>
      <w:r>
        <w:rPr>
          <w:rFonts w:ascii="Times New Roman" w:hAnsi="Times New Roman"/>
          <w:b/>
          <w:i w:val="false"/>
          <w:color w:val="000000"/>
          <w:sz w:val="22"/>
        </w:rPr>
        <w:t xml:space="preserve">(91C) </w:t>
      </w:r>
      <w:r>
        <w:rPr>
          <w:rFonts w:ascii="Times New Roman" w:hAnsi="Times New Roman"/>
          <w:b/>
          <w:i w:val="false"/>
          <w:color w:val="000000"/>
          <w:sz w:val="22"/>
        </w:rPr>
        <w:t xml:space="preserve">Citations/penalties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465.10(1)</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The director will issue a citation to a contractor where an investigation reveals the contractor has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contractor’s registration information be substantially complete and accurate;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that an out-of-state contractor file a bond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465.10(2)</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If a citation is issued, the director shall notify the contractor by certified mail of the proposed administrative penalty, if any. The administrative penalties shall be not more than $500 in the case of the first violation and not more than $5,000 per violation in the case of a second or subsequent violation. In proposing a penalty, due consideration will be given to knowledge of the alleged violation, knowledge of requirements of the law, and nature and extent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contractor has 15 working days within which to file a notice of contest of the citation or proposed penalty. The notice of contest is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465.10(4)</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The rules of procedure of the employment appeal board shall apply to administrative hearings on citations and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481—465.11</w:t>
      </w:r>
      <w:r>
        <w:rPr>
          <w:rFonts w:ascii="Times New Roman" w:hAnsi="Times New Roman"/>
          <w:b/>
          <w:i w:val="false"/>
          <w:color w:val="000000"/>
          <w:sz w:val="22"/>
        </w:rPr>
        <w:t xml:space="preserve">(91C) </w:t>
      </w:r>
      <w:r>
        <w:rPr>
          <w:rFonts w:ascii="Times New Roman" w:hAnsi="Times New Roman"/>
          <w:b/>
          <w:i w:val="false"/>
          <w:color w:val="000000"/>
          <w:sz w:val="22"/>
        </w:rPr>
        <w:t xml:space="preserve">Revocation of registrations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465.11(1)</w:t>
      </w:r>
      <w:r>
        <w:rPr>
          <w:rFonts w:ascii="Times New Roman" w:hAnsi="Times New Roman"/>
          <w:b w:val="false"/>
          <w:i w:val="false"/>
          <w:color w:val="000000"/>
          <w:sz w:val="22"/>
        </w:rPr>
        <w:t> </w:t>
      </w:r>
      <w:r>
        <w:rPr>
          <w:rFonts w:ascii="Times New Roman" w:hAnsi="Times New Roman"/>
          <w:b w:val="false"/>
          <w:i/>
          <w:color w:val="000000"/>
          <w:sz w:val="22"/>
        </w:rPr>
        <w:t xml:space="preserve">Reason for revocation. </w:t>
      </w:r>
      <w:r>
        <w:rPr>
          <w:rFonts w:ascii="Times New Roman" w:hAnsi="Times New Roman"/>
          <w:b w:val="false"/>
          <w:i w:val="false"/>
          <w:color w:val="000000"/>
          <w:sz w:val="22"/>
        </w:rPr>
        <w:t>The director shall seek revocation of a contractor’s registration where an investigation reveals the contractor failed to meet the conditions of registration at the time of issuance or no longer meets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465.11(2)</w:t>
      </w:r>
      <w:r>
        <w:rPr>
          <w:rFonts w:ascii="Times New Roman" w:hAnsi="Times New Roman"/>
          <w:b w:val="false"/>
          <w:i w:val="false"/>
          <w:color w:val="000000"/>
          <w:sz w:val="22"/>
        </w:rPr>
        <w:t> </w:t>
      </w:r>
      <w:r>
        <w:rPr>
          <w:rFonts w:ascii="Times New Roman" w:hAnsi="Times New Roman"/>
          <w:b w:val="false"/>
          <w:i/>
          <w:color w:val="000000"/>
          <w:sz w:val="22"/>
        </w:rPr>
        <w:t xml:space="preserve">Notice of revocation. </w:t>
      </w:r>
      <w:r>
        <w:rPr>
          <w:rFonts w:ascii="Times New Roman" w:hAnsi="Times New Roman"/>
          <w:b w:val="false"/>
          <w:i w:val="false"/>
          <w:color w:val="000000"/>
          <w:sz w:val="22"/>
        </w:rPr>
        <w:t>The director shall serve a notice of intent to revoke on the contractor by personal service or by restricted certified mail to the address listed in the application or by other service as permitted in the Iowa Rules of Civil Procedure. The notice shall set the time for a fact-finding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465.11(3)</w:t>
      </w: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The purpose of the fact-finding interview is to ensure the contractor is not in compliance before the registration is revoked. The contractor may notify the fact finder of a telephone number to use at least 24 hours before the fact-finding interview is scheduled to begin. Otherwise, the fact finder will call the number on file for the contractor. The fact-finding interview may be conducted via videoconference or in person if the fact finder and the contractor make arrangements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director serves the decision of the fact-finding interview on the contractor by certified mail to the address listed on the application or to another address provided by the contractor. If the certified mail is returned unclaimed or undelivered, the director will serve the decision by other service as permitted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w:t>
      </w:r>
      <w:r>
        <w:rPr>
          <w:rFonts w:ascii="Times New Roman" w:hAnsi="Times New Roman"/>
          <w:b w:val="false"/>
          <w:i w:val="false"/>
          <w:color w:val="000000"/>
          <w:sz w:val="22"/>
        </w:rPr>
        <w:t>Revocations are effective 21 days after certified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465.11(6)</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contractor has 15 working days from receipt of the decision to file a notice of contest. The notice of contest shall be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465.11(7)</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procedures. </w:t>
      </w:r>
      <w:r>
        <w:rPr>
          <w:rFonts w:ascii="Times New Roman" w:hAnsi="Times New Roman"/>
          <w:b w:val="false"/>
          <w:i w:val="false"/>
          <w:color w:val="000000"/>
          <w:sz w:val="22"/>
        </w:rPr>
        <w:t>The rules of procedure of the employment appeal board apply to notices of contest.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465.11(8)</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A contractor whose registration is revoked may reapply for a new registration number if all requirements for registration eligibility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465.11(9)</w:t>
      </w:r>
      <w:r>
        <w:rPr>
          <w:rFonts w:ascii="Times New Roman" w:hAnsi="Times New Roman"/>
          <w:b w:val="false"/>
          <w:i w:val="false"/>
          <w:color w:val="000000"/>
          <w:sz w:val="22"/>
        </w:rPr>
        <w:t> </w:t>
      </w:r>
      <w:r>
        <w:rPr>
          <w:rFonts w:ascii="Times New Roman" w:hAnsi="Times New Roman"/>
          <w:b w:val="false"/>
          <w:i/>
          <w:color w:val="000000"/>
          <w:sz w:val="22"/>
        </w:rPr>
        <w:t xml:space="preserve">Relinquishing registration certificate. </w:t>
      </w:r>
      <w:r>
        <w:rPr>
          <w:rFonts w:ascii="Times New Roman" w:hAnsi="Times New Roman"/>
          <w:b w:val="false"/>
          <w:i w:val="false"/>
          <w:color w:val="000000"/>
          <w:sz w:val="22"/>
        </w:rPr>
        <w:t>A contractor shall return the original registration certificate to the department when a revocation or suspension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481—465.12</w:t>
      </w:r>
      <w:r>
        <w:rPr>
          <w:rFonts w:ascii="Times New Roman" w:hAnsi="Times New Roman"/>
          <w:b/>
          <w:i w:val="false"/>
          <w:color w:val="000000"/>
          <w:sz w:val="22"/>
        </w:rPr>
        <w:t xml:space="preserve">(91C) </w:t>
      </w:r>
      <w:r>
        <w:rPr>
          <w:rFonts w:ascii="Times New Roman" w:hAnsi="Times New Roman"/>
          <w:b/>
          <w:i w:val="false"/>
          <w:color w:val="000000"/>
          <w:sz w:val="22"/>
        </w:rPr>
        <w:t xml:space="preserve">Concurrent actions. </w:t>
      </w:r>
      <w:r>
        <w:rPr>
          <w:rFonts w:ascii="Times New Roman" w:hAnsi="Times New Roman"/>
          <w:b w:val="false"/>
          <w:i w:val="false"/>
          <w:color w:val="000000"/>
          <w:sz w:val="22"/>
        </w:rPr>
        <w:t xml:space="preserve">Actions under rules </w:t>
      </w:r>
      <w:hyperlink r:id="rId14">
        <w:r>
          <w:rPr>
            <w:rStyle w:val="Hyperlink"/>
            <w:rFonts w:ascii="Times New Roman" w:hAnsi="Times New Roman"/>
            <w:b w:val="false"/>
            <w:i w:val="false"/>
            <w:color w:val="000000"/>
            <w:sz w:val="22"/>
          </w:rPr>
          <w:t>481—465.10</w:t>
        </w:r>
      </w:hyperlink>
      <w:r>
        <w:rPr>
          <w:rFonts w:ascii="Times New Roman" w:hAnsi="Times New Roman"/>
          <w:b w:val="false"/>
          <w:i w:val="false"/>
          <w:color w:val="000000"/>
          <w:sz w:val="22"/>
        </w:rPr>
        <w:t xml:space="preserve">(91C) and </w:t>
      </w:r>
      <w:hyperlink r:id="rId15">
        <w:r>
          <w:rPr>
            <w:rStyle w:val="Hyperlink"/>
            <w:rFonts w:ascii="Times New Roman" w:hAnsi="Times New Roman"/>
            <w:b w:val="false"/>
            <w:i w:val="false"/>
            <w:color w:val="000000"/>
            <w:sz w:val="22"/>
          </w:rPr>
          <w:t>481—465.11</w:t>
        </w:r>
      </w:hyperlink>
      <w:r>
        <w:rPr>
          <w:rFonts w:ascii="Times New Roman" w:hAnsi="Times New Roman"/>
          <w:b w:val="false"/>
          <w:i w:val="false"/>
          <w:color w:val="000000"/>
          <w:sz w:val="22"/>
        </w:rPr>
        <w:t>(91C) may proceed at the same time against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481—465.13</w:t>
      </w:r>
      <w:r>
        <w:rPr>
          <w:rFonts w:ascii="Times New Roman" w:hAnsi="Times New Roman"/>
          <w:b/>
          <w:i w:val="false"/>
          <w:color w:val="000000"/>
          <w:sz w:val="22"/>
        </w:rPr>
        <w:t xml:space="preserve">(91C) </w:t>
      </w:r>
      <w:r>
        <w:rPr>
          <w:rFonts w:ascii="Times New Roman" w:hAnsi="Times New Roman"/>
          <w:b/>
          <w:i w:val="false"/>
          <w:color w:val="000000"/>
          <w:sz w:val="22"/>
        </w:rPr>
        <w:t xml:space="preserve">Bond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465.13(1)</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r>
        <w:rPr>
          <w:rFonts w:ascii="Times New Roman" w:hAnsi="Times New Roman"/>
          <w:b w:val="false"/>
          <w:i w:val="false"/>
          <w:color w:val="000000"/>
          <w:sz w:val="22"/>
        </w:rPr>
        <w:t>Prior to releasing a bond, the director will notify the department of revenue, the unemployment insurance services division of the workforce development department, and applicable state subdivisions of the intent to release the bond. The director shall provide ten days for the filing of objections to the release of the bond. The director may deem any failure to respond to the notice within the time provided as an approval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465.13(2)</w:t>
      </w:r>
      <w:r>
        <w:rPr>
          <w:rFonts w:ascii="Times New Roman" w:hAnsi="Times New Roman"/>
          <w:b w:val="false"/>
          <w:i w:val="false"/>
          <w:color w:val="000000"/>
          <w:sz w:val="22"/>
        </w:rPr>
        <w:t> </w:t>
      </w:r>
      <w:r>
        <w:rPr>
          <w:rFonts w:ascii="Times New Roman" w:hAnsi="Times New Roman"/>
          <w:b w:val="false"/>
          <w:i/>
          <w:color w:val="000000"/>
          <w:sz w:val="22"/>
        </w:rPr>
        <w:t xml:space="preserve">Conditions for release. </w:t>
      </w:r>
      <w:r>
        <w:rPr>
          <w:rFonts w:ascii="Times New Roman" w:hAnsi="Times New Roman"/>
          <w:b w:val="false"/>
          <w:i w:val="false"/>
          <w:color w:val="000000"/>
          <w:sz w:val="22"/>
        </w:rPr>
        <w:t>A bond shall not be released until the contractor has made payment of all taxes, including contributions due under the unemployment compensation insurance system, penalties, interest, and fees, that may accrue to the state of Iowa or its subdivisions on account of the execution and performance of the contract or approval for the release is obtained from the appropriate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12/9/88, Notice 10/5/88—published 12/28/88, effective 2/15/89]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4/26/89—published 5/17/89, effective 4/26/89]</w:t>
      </w:r>
    </w:p>
    <w:p>
      <w:pPr>
        <w:spacing w:before="0" w:after="0"/>
        <w:ind w:left="120"/>
        <w:jc w:val="center"/>
      </w:pPr>
      <w:r>
        <w:rPr>
          <w:rFonts w:ascii="Times New Roman" w:hAnsi="Times New Roman"/>
          <w:b w:val="false"/>
          <w:i w:val="false"/>
          <w:color w:val="000000"/>
          <w:sz w:val="21"/>
        </w:rPr>
        <w:t>[Filed 10/26/89, Notice 5/17/89—published 11/15/89, effective 12/29/89]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2/7/97, Notice 8/14/96—published 2/26/97, effective 4/4/97]</w:t>
      </w:r>
    </w:p>
    <w:p>
      <w:pPr>
        <w:spacing w:before="0" w:after="0"/>
        <w:ind w:left="120"/>
        <w:jc w:val="center"/>
      </w:pPr>
      <w:r>
        <w:rPr>
          <w:rFonts w:ascii="Times New Roman" w:hAnsi="Times New Roman"/>
          <w:b w:val="false"/>
          <w:i w:val="false"/>
          <w:color w:val="000000"/>
          <w:sz w:val="21"/>
        </w:rPr>
        <w:t>[Filed emergency 5/4/99 after Notice 3/24/99—published 6/2/99, effective 7/1/99]</w:t>
      </w:r>
    </w:p>
    <w:p>
      <w:pPr>
        <w:spacing w:before="0" w:after="0"/>
        <w:ind w:left="120"/>
        <w:jc w:val="center"/>
      </w:pPr>
      <w:r>
        <w:rPr>
          <w:rFonts w:ascii="Times New Roman" w:hAnsi="Times New Roman"/>
          <w:b w:val="false"/>
          <w:i w:val="false"/>
          <w:color w:val="000000"/>
          <w:sz w:val="21"/>
        </w:rPr>
        <w:t>[Filed emergency 6/28/06—published 7/19/06, effective 7/1/06]</w:t>
      </w:r>
    </w:p>
    <w:p>
      <w:pPr>
        <w:spacing w:before="0" w:after="0"/>
        <w:ind w:left="120"/>
        <w:jc w:val="center"/>
      </w:pPr>
      <w:r>
        <w:rPr>
          <w:rFonts w:ascii="Times New Roman" w:hAnsi="Times New Roman"/>
          <w:b w:val="false"/>
          <w:i w:val="false"/>
          <w:color w:val="000000"/>
          <w:sz w:val="21"/>
        </w:rPr>
        <w:t>[Filed 11/3/06, Notice 9/27/06—published 11/22/06, effective 1/1/07]</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7876B, IAB 6/17/09, effective 7/1/09]</w:t>
      </w:r>
    </w:p>
    <w:p>
      <w:pPr>
        <w:spacing w:before="0" w:after="0"/>
        <w:ind w:left="120"/>
        <w:jc w:val="center"/>
      </w:pPr>
      <w:r>
        <w:rPr>
          <w:rFonts w:ascii="Times New Roman" w:hAnsi="Times New Roman"/>
          <w:b w:val="false"/>
          <w:i w:val="false"/>
          <w:color w:val="000000"/>
          <w:sz w:val="21"/>
        </w:rPr>
        <w:t>[Filed ARC 8035B</w:t>
      </w:r>
      <w:r>
        <w:rPr>
          <w:rFonts w:ascii="Times New Roman" w:hAnsi="Times New Roman"/>
          <w:b w:val="false"/>
          <w:i w:val="false"/>
          <w:color w:val="000000"/>
          <w:sz w:val="21"/>
        </w:rPr>
        <w:t xml:space="preserve"> (Notice ARC 7875B, IAB 6/17/09)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Emergency ARC 8812B, IAB 6/2/10, effective 7/1/10]</w:t>
      </w:r>
    </w:p>
    <w:p>
      <w:pPr>
        <w:spacing w:before="0" w:after="0"/>
        <w:ind w:left="120"/>
        <w:jc w:val="center"/>
      </w:pPr>
      <w:r>
        <w:rPr>
          <w:rFonts w:ascii="Times New Roman" w:hAnsi="Times New Roman"/>
          <w:b w:val="false"/>
          <w:i w:val="false"/>
          <w:color w:val="000000"/>
          <w:sz w:val="21"/>
        </w:rPr>
        <w:t>[Filed ARC 8984B</w:t>
      </w:r>
      <w:r>
        <w:rPr>
          <w:rFonts w:ascii="Times New Roman" w:hAnsi="Times New Roman"/>
          <w:b w:val="false"/>
          <w:i w:val="false"/>
          <w:color w:val="000000"/>
          <w:sz w:val="21"/>
        </w:rPr>
        <w:t xml:space="preserve"> (Notice ARC 8818B,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3059C</w:t>
      </w:r>
      <w:r>
        <w:rPr>
          <w:rFonts w:ascii="Times New Roman" w:hAnsi="Times New Roman"/>
          <w:b w:val="false"/>
          <w:i w:val="false"/>
          <w:color w:val="000000"/>
          <w:sz w:val="21"/>
        </w:rPr>
        <w:t xml:space="preserve"> (Notice ARC 2965C,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3686C</w:t>
      </w:r>
      <w:r>
        <w:rPr>
          <w:rFonts w:ascii="Times New Roman" w:hAnsi="Times New Roman"/>
          <w:b w:val="false"/>
          <w:i w:val="false"/>
          <w:color w:val="000000"/>
          <w:sz w:val="21"/>
        </w:rPr>
        <w:t xml:space="preserve"> (Notice ARC 3565C,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6102C</w:t>
      </w:r>
      <w:r>
        <w:rPr>
          <w:rFonts w:ascii="Times New Roman" w:hAnsi="Times New Roman"/>
          <w:b w:val="false"/>
          <w:i w:val="false"/>
          <w:color w:val="000000"/>
          <w:sz w:val="21"/>
        </w:rPr>
        <w:t xml:space="preserve"> (Notice ARC 5959C, IAB 10/6/21)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8833C</w:t>
      </w:r>
      <w:r>
        <w:rPr>
          <w:rFonts w:ascii="Times New Roman" w:hAnsi="Times New Roman"/>
          <w:b w:val="false"/>
          <w:i w:val="false"/>
          <w:color w:val="000000"/>
          <w:sz w:val="21"/>
        </w:rPr>
        <w:t xml:space="preserve"> (Notice ARC 8375C,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(2/15/89) delayed 70 days by the Administrative Rules Review Committee at its January 5, 1989, meeting.</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C.pdf" Type="http://schemas.openxmlformats.org/officeDocument/2006/relationships/hyperlink" Id="rId5"/>
    <Relationship TargetMode="External" Target="https://www.legis.iowa.gov/docs/iac/rule/871.23.82.pdf" Type="http://schemas.openxmlformats.org/officeDocument/2006/relationships/hyperlink" Id="rId6"/>
    <Relationship TargetMode="External" Target="https://www.legis.iowa.gov/docs/iac/rule/871.23.82.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87.11.pdf" Type="http://schemas.openxmlformats.org/officeDocument/2006/relationships/hyperlink" Id="rId9"/>
    <Relationship TargetMode="External" Target="https://www.legis.iowa.gov/docs/ico/chapter/314.1.pdf" Type="http://schemas.openxmlformats.org/officeDocument/2006/relationships/hyperlink" Id="rId10"/>
    <Relationship TargetMode="External" Target="https://www.legis.iowa.gov/docs/iac/rule/481.465.5.pdf" Type="http://schemas.openxmlformats.org/officeDocument/2006/relationships/hyperlink" Id="rId11"/>
    <Relationship TargetMode="External" Target="https://www.legis.iowa.gov/docs/ico/chapter/88.pdf" Type="http://schemas.openxmlformats.org/officeDocument/2006/relationships/hyperlink" Id="rId12"/>
    <Relationship TargetMode="External" Target="https://www.legis.iowa.gov/docs/ico/chapter/91C.pdf" Type="http://schemas.openxmlformats.org/officeDocument/2006/relationships/hyperlink" Id="rId13"/>
    <Relationship TargetMode="External" Target="https://www.legis.iowa.gov/docs/iac/rule/481.465.10.pdf" Type="http://schemas.openxmlformats.org/officeDocument/2006/relationships/hyperlink" Id="rId14"/>
    <Relationship TargetMode="External" Target="https://www.legis.iowa.gov/docs/iac/rule/481.465.11.pdf" Type="http://schemas.openxmlformats.org/officeDocument/2006/relationships/hyperlink" Id="rId15"/>
    <Relationship TargetMode="External" Target="https://www.legis.iowa.gov/docs/ico/chapter/91C.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