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428</w:t>
      </w:r>
    </w:p>
    <w:p>
      <w:pPr>
        <w:spacing w:before="0" w:after="0"/>
        <w:ind w:left="120"/>
        <w:jc w:val="center"/>
      </w:pPr>
      <w:r>
        <w:rPr>
          <w:rFonts w:ascii="Times New Roman" w:hAnsi="Times New Roman"/>
          <w:b w:val="false"/>
          <w:i w:val="false"/>
          <w:color w:val="000000"/>
          <w:sz w:val="21"/>
        </w:rPr>
        <w:t>PLUMBING AND MECHANICAL SYSTEMS BOARD—LICENSURE FEES</w:t>
      </w:r>
    </w:p>
    <w:p>
      <w:pPr>
        <w:spacing w:before="0" w:after="0"/>
        <w:ind w:left="120"/>
        <w:jc w:val="center"/>
      </w:pPr>
      <w:r>
        <w:rPr>
          <w:rFonts w:ascii="Times New Roman" w:hAnsi="Times New Roman"/>
          <w:b w:val="false"/>
          <w:i w:val="false"/>
          <w:color w:val="000000"/>
          <w:sz w:val="14"/>
        </w:rPr>
        <w:t>[Prior to 4/2/25, see Public Health Department[641] Ch 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481—428.1</w:t>
      </w:r>
      <w:r>
        <w:rPr>
          <w:rFonts w:ascii="Times New Roman" w:hAnsi="Times New Roman"/>
          <w:b/>
          <w:i w:val="false"/>
          <w:color w:val="000000"/>
          <w:sz w:val="22"/>
        </w:rPr>
        <w:t xml:space="preserve">(105) </w:t>
      </w:r>
      <w:r>
        <w:rPr>
          <w:rFonts w:ascii="Times New Roman" w:hAnsi="Times New Roman"/>
          <w:b/>
          <w:i w:val="false"/>
          <w:color w:val="000000"/>
          <w:sz w:val="22"/>
        </w:rPr>
        <w:t xml:space="preserve">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w:t>
      </w:r>
      <w:r>
        <w:rPr>
          <w:rFonts w:ascii="Times New Roman" w:hAnsi="Times New Roman"/>
          <w:b w:val="false"/>
          <w:i w:val="false"/>
          <w:color w:val="000000"/>
          <w:sz w:val="22"/>
        </w:rPr>
        <w:t> </w:t>
      </w:r>
      <w:r>
        <w:rPr>
          <w:rFonts w:ascii="Times New Roman" w:hAnsi="Times New Roman"/>
          <w:b w:val="false"/>
          <w:i w:val="false"/>
          <w:color w:val="000000"/>
          <w:sz w:val="22"/>
        </w:rPr>
        <w:t>Fees for three-year initial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5">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6">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7">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8">
        <w:r>
          <w:rPr>
            <w:rStyle w:val="Hyperlink"/>
            <w:rFonts w:ascii="Times New Roman" w:hAnsi="Times New Roman"/>
            <w:b w:val="false"/>
            <w:i w:val="false"/>
            <w:color w:val="000000"/>
            <w:sz w:val="22"/>
          </w:rPr>
          <w:t>481—429.3</w:t>
        </w:r>
      </w:hyperlink>
      <w:r>
        <w:rPr>
          <w:rFonts w:ascii="Times New Roman" w:hAnsi="Times New Roman"/>
          <w:b w:val="false"/>
          <w:i w:val="false"/>
          <w:color w:val="000000"/>
          <w:sz w:val="22"/>
        </w:rPr>
        <w:t>(105)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481—subrules </w:t>
      </w:r>
      <w:hyperlink r:id="rId9">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429.2(6)</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11">
        <w:r>
          <w:rPr>
            <w:rStyle w:val="Hyperlink"/>
            <w:rFonts w:ascii="Times New Roman" w:hAnsi="Times New Roman"/>
            <w:b w:val="false"/>
            <w:i w:val="false"/>
            <w:color w:val="000000"/>
            <w:sz w:val="22"/>
          </w:rPr>
          <w:t>481—subrule 429.2(4)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481—subrules </w:t>
      </w:r>
      <w:hyperlink r:id="rId12">
        <w:r>
          <w:rPr>
            <w:rStyle w:val="Hyperlink"/>
            <w:rFonts w:ascii="Times New Roman" w:hAnsi="Times New Roman"/>
            <w:b w:val="false"/>
            <w:i w:val="false"/>
            <w:color w:val="000000"/>
            <w:sz w:val="22"/>
          </w:rPr>
          <w:t>429.2(8)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429.2(9)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429.2(10)</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Fees for all initial licenses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428.1(2)</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three-year reciprocal licenses or three-year licenses obtained by verification in accordance with </w:t>
      </w:r>
      <w:hyperlink r:id="rId15">
        <w:r>
          <w:rPr>
            <w:rStyle w:val="Hyperlink"/>
            <w:rFonts w:ascii="Times New Roman" w:hAnsi="Times New Roman"/>
            <w:b w:val="false"/>
            <w:i w:val="false"/>
            <w:color w:val="000000"/>
            <w:sz w:val="22"/>
          </w:rPr>
          <w:t>481—Chapter 430</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16">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17">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18">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all reciprocal licenses or three-year licenses obtained by verification in accordance with </w:t>
      </w:r>
      <w:hyperlink r:id="rId19">
        <w:r>
          <w:rPr>
            <w:rStyle w:val="Hyperlink"/>
            <w:rFonts w:ascii="Times New Roman" w:hAnsi="Times New Roman"/>
            <w:b w:val="false"/>
            <w:i w:val="false"/>
            <w:color w:val="000000"/>
            <w:sz w:val="22"/>
          </w:rPr>
          <w:t>481—Chapter 430</w:t>
        </w:r>
      </w:hyperlink>
      <w:r>
        <w:rPr>
          <w:rFonts w:ascii="Times New Roman" w:hAnsi="Times New Roman"/>
          <w:b w:val="false"/>
          <w:i w:val="false"/>
          <w:color w:val="000000"/>
          <w:sz w:val="22"/>
        </w:rPr>
        <w:t xml:space="preserve">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428.1(3)</w:t>
      </w:r>
      <w:r>
        <w:rPr>
          <w:rFonts w:ascii="Times New Roman" w:hAnsi="Times New Roman"/>
          <w:b w:val="false"/>
          <w:i w:val="false"/>
          <w:color w:val="000000"/>
          <w:sz w:val="22"/>
        </w:rPr>
        <w:t> </w:t>
      </w:r>
      <w:r>
        <w:rPr>
          <w:rFonts w:ascii="Times New Roman" w:hAnsi="Times New Roman"/>
          <w:b w:val="false"/>
          <w:i w:val="false"/>
          <w:color w:val="000000"/>
          <w:sz w:val="22"/>
        </w:rPr>
        <w:t>Fees for renewal of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20">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21">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22">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23">
        <w:r>
          <w:rPr>
            <w:rStyle w:val="Hyperlink"/>
            <w:rFonts w:ascii="Times New Roman" w:hAnsi="Times New Roman"/>
            <w:b w:val="false"/>
            <w:i w:val="false"/>
            <w:color w:val="000000"/>
            <w:sz w:val="22"/>
          </w:rPr>
          <w:t>481—429.3</w:t>
        </w:r>
      </w:hyperlink>
      <w:r>
        <w:rPr>
          <w:rFonts w:ascii="Times New Roman" w:hAnsi="Times New Roman"/>
          <w:b w:val="false"/>
          <w:i w:val="false"/>
          <w:color w:val="000000"/>
          <w:sz w:val="22"/>
        </w:rPr>
        <w:t>(105)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481—subrules </w:t>
      </w:r>
      <w:hyperlink r:id="rId24">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429.2(6)</w:t>
        </w:r>
      </w:hyperlink>
      <w:r>
        <w:rPr>
          <w:rFonts w:ascii="Times New Roman" w:hAnsi="Times New Roman"/>
          <w:b w:val="false"/>
          <w:i w:val="false"/>
          <w:color w:val="000000"/>
          <w:sz w:val="22"/>
        </w:rPr>
        <w:t xml:space="preserve"> is $50. However, no fee is necessary for an inactive specialty license as defined in </w:t>
      </w:r>
      <w:hyperlink r:id="rId26">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27">
        <w:r>
          <w:rPr>
            <w:rStyle w:val="Hyperlink"/>
            <w:rFonts w:ascii="Times New Roman" w:hAnsi="Times New Roman"/>
            <w:b w:val="false"/>
            <w:i w:val="false"/>
            <w:color w:val="000000"/>
            <w:sz w:val="22"/>
          </w:rPr>
          <w:t>481—subrule 429.2(4)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481—subrules </w:t>
      </w:r>
      <w:hyperlink r:id="rId28">
        <w:r>
          <w:rPr>
            <w:rStyle w:val="Hyperlink"/>
            <w:rFonts w:ascii="Times New Roman" w:hAnsi="Times New Roman"/>
            <w:b w:val="false"/>
            <w:i w:val="false"/>
            <w:color w:val="000000"/>
            <w:sz w:val="22"/>
          </w:rPr>
          <w:t>429.2(8)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429.2(9)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429.2(10)</w:t>
        </w:r>
      </w:hyperlink>
      <w:r>
        <w:rPr>
          <w:rFonts w:ascii="Times New Roman" w:hAnsi="Times New Roman"/>
          <w:b w:val="false"/>
          <w:i w:val="false"/>
          <w:color w:val="000000"/>
          <w:sz w:val="22"/>
        </w:rPr>
        <w:t xml:space="preserve"> is $50. However, no fee is necessary for an inactive specialty license as defined in </w:t>
      </w:r>
      <w:hyperlink r:id="rId31">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428.1(4)</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428.1(5)</w:t>
      </w:r>
      <w:r>
        <w:rPr>
          <w:rFonts w:ascii="Times New Roman" w:hAnsi="Times New Roman"/>
          <w:b w:val="false"/>
          <w:i w:val="false"/>
          <w:color w:val="000000"/>
          <w:sz w:val="22"/>
        </w:rPr>
        <w:t> </w:t>
      </w:r>
      <w:r>
        <w:rPr>
          <w:rFonts w:ascii="Times New Roman" w:hAnsi="Times New Roman"/>
          <w:b w:val="false"/>
          <w:i w:val="false"/>
          <w:color w:val="000000"/>
          <w:sz w:val="22"/>
        </w:rPr>
        <w:t>A late fee for failure to renew before expiration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on or before the following July 31 may reinstate and renew the license upon payment of the appropriate renewal fee and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between the following August 1 and August 31 may reinstate and renew the license without examination upon payment of a $60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after the following August 31 and on or before the following June 30 may reinstate and renew the license without examination upon payment of a $100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428.1(7)</w:t>
      </w:r>
      <w:r>
        <w:rPr>
          <w:rFonts w:ascii="Times New Roman" w:hAnsi="Times New Roman"/>
          <w:b w:val="false"/>
          <w:i w:val="false"/>
          <w:color w:val="000000"/>
          <w:sz w:val="22"/>
        </w:rPr>
        <w:t> </w:t>
      </w:r>
      <w:r>
        <w:rPr>
          <w:rFonts w:ascii="Times New Roman" w:hAnsi="Times New Roman"/>
          <w:b w:val="false"/>
          <w:i w:val="false"/>
          <w:color w:val="000000"/>
          <w:sz w:val="22"/>
        </w:rPr>
        <w:t>The fee for written verification of licensee status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428.1(8)</w:t>
      </w:r>
      <w:r>
        <w:rPr>
          <w:rFonts w:ascii="Times New Roman" w:hAnsi="Times New Roman"/>
          <w:b w:val="false"/>
          <w:i w:val="false"/>
          <w:color w:val="000000"/>
          <w:sz w:val="22"/>
        </w:rPr>
        <w:t> </w:t>
      </w:r>
      <w:r>
        <w:rPr>
          <w:rFonts w:ascii="Times New Roman" w:hAnsi="Times New Roman"/>
          <w:b w:val="false"/>
          <w:i w:val="false"/>
          <w:color w:val="000000"/>
          <w:sz w:val="22"/>
        </w:rPr>
        <w:t>The 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428.1(9)</w:t>
      </w:r>
      <w:r>
        <w:rPr>
          <w:rFonts w:ascii="Times New Roman" w:hAnsi="Times New Roman"/>
          <w:b w:val="false"/>
          <w:i w:val="false"/>
          <w:color w:val="000000"/>
          <w:sz w:val="22"/>
        </w:rPr>
        <w:t> </w:t>
      </w:r>
      <w:r>
        <w:rPr>
          <w:rFonts w:ascii="Times New Roman" w:hAnsi="Times New Roman"/>
          <w:b w:val="false"/>
          <w:i w:val="false"/>
          <w:color w:val="000000"/>
          <w:sz w:val="22"/>
        </w:rPr>
        <w:t>The 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428.1(10)</w:t>
      </w:r>
      <w:r>
        <w:rPr>
          <w:rFonts w:ascii="Times New Roman" w:hAnsi="Times New Roman"/>
          <w:b w:val="false"/>
          <w:i w:val="false"/>
          <w:color w:val="000000"/>
          <w:sz w:val="22"/>
        </w:rPr>
        <w:t> </w:t>
      </w:r>
      <w:r>
        <w:rPr>
          <w:rFonts w:ascii="Times New Roman" w:hAnsi="Times New Roman"/>
          <w:b w:val="false"/>
          <w:i w:val="false"/>
          <w:color w:val="000000"/>
          <w:sz w:val="22"/>
        </w:rPr>
        <w:t>The paper application fee is $25 plus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428.1(11)</w:t>
      </w:r>
      <w:r>
        <w:rPr>
          <w:rFonts w:ascii="Times New Roman" w:hAnsi="Times New Roman"/>
          <w:b w:val="false"/>
          <w:i w:val="false"/>
          <w:color w:val="000000"/>
          <w:sz w:val="22"/>
        </w:rPr>
        <w:t> </w:t>
      </w:r>
      <w:r>
        <w:rPr>
          <w:rFonts w:ascii="Times New Roman" w:hAnsi="Times New Roman"/>
          <w:b w:val="false"/>
          <w:i w:val="false"/>
          <w:color w:val="000000"/>
          <w:sz w:val="22"/>
        </w:rPr>
        <w:t>Combined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“combined license” means more than one active master, contractor, or journeyperson license in one or multiple disciplines held by the same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fee for a combined license is the sum total of each of the separate license fees as set forth in subrules </w:t>
      </w:r>
      <w:hyperlink r:id="rId32">
        <w:r>
          <w:rPr>
            <w:rStyle w:val="Hyperlink"/>
            <w:rFonts w:ascii="Times New Roman" w:hAnsi="Times New Roman"/>
            <w:b w:val="false"/>
            <w:i w:val="false"/>
            <w:color w:val="000000"/>
            <w:sz w:val="22"/>
          </w:rPr>
          <w:t>428.1(1)</w:t>
        </w:r>
      </w:hyperlink>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428.1(3)</w:t>
        </w:r>
      </w:hyperlink>
      <w:r>
        <w:rPr>
          <w:rFonts w:ascii="Times New Roman" w:hAnsi="Times New Roman"/>
          <w:b w:val="false"/>
          <w:i w:val="false"/>
          <w:color w:val="000000"/>
          <w:sz w:val="22"/>
        </w:rPr>
        <w:t xml:space="preserve"> reduced by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individual licenses purchased in a single transaction are eligible for the combined licensee fee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428.1(12)</w:t>
      </w:r>
      <w:r>
        <w:rPr>
          <w:rFonts w:ascii="Times New Roman" w:hAnsi="Times New Roman"/>
          <w:b w:val="false"/>
          <w:i w:val="false"/>
          <w:color w:val="000000"/>
          <w:sz w:val="22"/>
        </w:rPr>
        <w:t> </w:t>
      </w:r>
      <w:r>
        <w:rPr>
          <w:rFonts w:ascii="Times New Roman" w:hAnsi="Times New Roman"/>
          <w:b w:val="false"/>
          <w:i w:val="false"/>
          <w:color w:val="000000"/>
          <w:sz w:val="22"/>
        </w:rPr>
        <w:t>The fee for combining an HVAC-refrigeration or hydronics license to a mechanical license is $50. This fee does not apply at the time of reissue.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w:t>
      </w:r>
      <w:hyperlink r:id="rId34">
        <w:r>
          <w:rPr>
            <w:rStyle w:val="Hyperlink"/>
            <w:rFonts w:ascii="Times New Roman" w:hAnsi="Times New Roman"/>
            <w:b w:val="false"/>
            <w:i w:val="false"/>
            <w:color w:val="000000"/>
            <w:sz w:val="22"/>
          </w:rPr>
          <w:t>481—subrule 429.13(2)</w:t>
        </w:r>
      </w:hyperlink>
      <w:r>
        <w:rPr>
          <w:rFonts w:ascii="Times New Roman" w:hAnsi="Times New Roman"/>
          <w:b w:val="false"/>
          <w:i w:val="false"/>
          <w:color w:val="000000"/>
          <w:sz w:val="22"/>
        </w:rPr>
        <w:t xml:space="preserve"> is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481—428.2</w:t>
      </w:r>
      <w:r>
        <w:rPr>
          <w:rFonts w:ascii="Times New Roman" w:hAnsi="Times New Roman"/>
          <w:b/>
          <w:i w:val="false"/>
          <w:color w:val="000000"/>
          <w:sz w:val="22"/>
        </w:rPr>
        <w:t xml:space="preserve">(105) </w:t>
      </w:r>
      <w:r>
        <w:rPr>
          <w:rFonts w:ascii="Times New Roman" w:hAnsi="Times New Roman"/>
          <w:b/>
          <w:i w:val="false"/>
          <w:color w:val="000000"/>
          <w:sz w:val="22"/>
        </w:rPr>
        <w:t xml:space="preserve">Annual review of fee schedule. </w:t>
      </w:r>
      <w:r>
        <w:rPr>
          <w:rFonts w:ascii="Times New Roman" w:hAnsi="Times New Roman"/>
          <w:b w:val="false"/>
          <w:i w:val="false"/>
          <w:color w:val="000000"/>
          <w:sz w:val="22"/>
        </w:rPr>
        <w:t xml:space="preserve">Within 60 days following the end of each fiscal year, the board will submit a report to the general assembly in accordance with Iowa Code section </w:t>
      </w:r>
      <w:hyperlink r:id="rId35">
        <w:r>
          <w:rPr>
            <w:rStyle w:val="Hyperlink"/>
            <w:rFonts w:ascii="Times New Roman" w:hAnsi="Times New Roman"/>
            <w:b w:val="false"/>
            <w:i w:val="false"/>
            <w:color w:val="000000"/>
            <w:sz w:val="22"/>
          </w:rPr>
          <w:t>105.9(5)</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481—428.3</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of fees. </w:t>
      </w:r>
      <w:r>
        <w:rPr>
          <w:rFonts w:ascii="Times New Roman" w:hAnsi="Times New Roman"/>
          <w:b w:val="false"/>
          <w:i w:val="false"/>
          <w:color w:val="000000"/>
          <w:sz w:val="22"/>
        </w:rPr>
        <w:t xml:space="preserve">Fee waivers are available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428.3(1)</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428.3(2)</w:t>
      </w:r>
      <w:r>
        <w:rPr>
          <w:rFonts w:ascii="Times New Roman" w:hAnsi="Times New Roman"/>
          <w:b w:val="false"/>
          <w:i w:val="false"/>
          <w:color w:val="000000"/>
          <w:sz w:val="22"/>
        </w:rPr>
        <w:t> </w:t>
      </w:r>
      <w:r>
        <w:rPr>
          <w:rFonts w:ascii="Times New Roman" w:hAnsi="Times New Roman"/>
          <w:b w:val="false"/>
          <w:i w:val="false"/>
          <w:color w:val="000000"/>
          <w:sz w:val="22"/>
        </w:rPr>
        <w:t>For an applicant who has been honorably or generally discharged from federal active duty or national guard duty, the board will waive an initial application fee and one renewal fee if those fees would otherwise be charged within five years of the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105.9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After Notice ARC 8529B</w:t>
      </w:r>
      <w:r>
        <w:rPr>
          <w:rFonts w:ascii="Times New Roman" w:hAnsi="Times New Roman"/>
          <w:b w:val="false"/>
          <w:i w:val="false"/>
          <w:color w:val="000000"/>
          <w:sz w:val="21"/>
        </w:rPr>
        <w:t xml:space="preserve"> (Notice ARC 8361B,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9603B, IAB 7/13/11, effective 6/21/11]</w:t>
      </w:r>
    </w:p>
    <w:p>
      <w:pPr>
        <w:spacing w:before="0" w:after="0"/>
        <w:ind w:left="120"/>
        <w:jc w:val="center"/>
      </w:pPr>
      <w:r>
        <w:rPr>
          <w:rFonts w:ascii="Times New Roman" w:hAnsi="Times New Roman"/>
          <w:b w:val="false"/>
          <w:i w:val="false"/>
          <w:color w:val="000000"/>
          <w:sz w:val="21"/>
        </w:rPr>
        <w:t>[Filed ARC 9847B</w:t>
      </w:r>
      <w:r>
        <w:rPr>
          <w:rFonts w:ascii="Times New Roman" w:hAnsi="Times New Roman"/>
          <w:b w:val="false"/>
          <w:i w:val="false"/>
          <w:color w:val="000000"/>
          <w:sz w:val="21"/>
        </w:rPr>
        <w:t xml:space="preserve"> (Notice ARC 9610B,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0341C</w:t>
      </w:r>
      <w:r>
        <w:rPr>
          <w:rFonts w:ascii="Times New Roman" w:hAnsi="Times New Roman"/>
          <w:b w:val="false"/>
          <w:i w:val="false"/>
          <w:color w:val="000000"/>
          <w:sz w:val="21"/>
        </w:rPr>
        <w:t xml:space="preserve"> (Notice ARC 0042C,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1299C</w:t>
      </w:r>
      <w:r>
        <w:rPr>
          <w:rFonts w:ascii="Times New Roman" w:hAnsi="Times New Roman"/>
          <w:b w:val="false"/>
          <w:i w:val="false"/>
          <w:color w:val="000000"/>
          <w:sz w:val="21"/>
        </w:rPr>
        <w:t xml:space="preserve"> (Notice ARC 1128C, IAB 10/16/13)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7994C</w:t>
      </w:r>
      <w:r>
        <w:rPr>
          <w:rFonts w:ascii="Times New Roman" w:hAnsi="Times New Roman"/>
          <w:b w:val="false"/>
          <w:i w:val="false"/>
          <w:color w:val="000000"/>
          <w:sz w:val="21"/>
        </w:rPr>
        <w:t xml:space="preserve"> (Notice ARC 7318C,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29.2.pdf" Type="http://schemas.openxmlformats.org/officeDocument/2006/relationships/hyperlink" Id="rId5"/>
    <Relationship TargetMode="External" Target="https://www.legis.iowa.gov/docs/iac/rule/481.429.2.pdf" Type="http://schemas.openxmlformats.org/officeDocument/2006/relationships/hyperlink" Id="rId6"/>
    <Relationship TargetMode="External" Target="https://www.legis.iowa.gov/docs/iac/rule/481.429.2.pdf" Type="http://schemas.openxmlformats.org/officeDocument/2006/relationships/hyperlink" Id="rId7"/>
    <Relationship TargetMode="External" Target="https://www.legis.iowa.gov/docs/iac/rule/481.429.3.pdf" Type="http://schemas.openxmlformats.org/officeDocument/2006/relationships/hyperlink" Id="rId8"/>
    <Relationship TargetMode="External" Target="https://www.legis.iowa.gov/docs/iac/rule/481.429.2.pdf" Type="http://schemas.openxmlformats.org/officeDocument/2006/relationships/hyperlink" Id="rId9"/>
    <Relationship TargetMode="External" Target="https://www.legis.iowa.gov/docs/iac/rule/481.429.2.pdf" Type="http://schemas.openxmlformats.org/officeDocument/2006/relationships/hyperlink" Id="rId10"/>
    <Relationship TargetMode="External" Target="https://www.legis.iowa.gov/docs/iac/rule/481.429.2.pdf" Type="http://schemas.openxmlformats.org/officeDocument/2006/relationships/hyperlink" Id="rId11"/>
    <Relationship TargetMode="External" Target="https://www.legis.iowa.gov/docs/iac/rule/481.429.2.pdf" Type="http://schemas.openxmlformats.org/officeDocument/2006/relationships/hyperlink" Id="rId12"/>
    <Relationship TargetMode="External" Target="https://www.legis.iowa.gov/docs/iac/rule/481.429.2.pdf" Type="http://schemas.openxmlformats.org/officeDocument/2006/relationships/hyperlink" Id="rId13"/>
    <Relationship TargetMode="External" Target="https://www.legis.iowa.gov/docs/iac/rule/481.429.2.pdf" Type="http://schemas.openxmlformats.org/officeDocument/2006/relationships/hyperlink" Id="rId14"/>
    <Relationship TargetMode="External" Target="https://www.legis.iowa.gov/docs/iac/chapter/481.430.pdf" Type="http://schemas.openxmlformats.org/officeDocument/2006/relationships/hyperlink" Id="rId15"/>
    <Relationship TargetMode="External" Target="https://www.legis.iowa.gov/docs/iac/rule/481.429.2.pdf" Type="http://schemas.openxmlformats.org/officeDocument/2006/relationships/hyperlink" Id="rId16"/>
    <Relationship TargetMode="External" Target="https://www.legis.iowa.gov/docs/iac/rule/481.429.2.pdf" Type="http://schemas.openxmlformats.org/officeDocument/2006/relationships/hyperlink" Id="rId17"/>
    <Relationship TargetMode="External" Target="https://www.legis.iowa.gov/docs/iac/rule/481.429.2.pdf" Type="http://schemas.openxmlformats.org/officeDocument/2006/relationships/hyperlink" Id="rId18"/>
    <Relationship TargetMode="External" Target="https://www.legis.iowa.gov/docs/iac/chapter/481.430.pdf" Type="http://schemas.openxmlformats.org/officeDocument/2006/relationships/hyperlink" Id="rId19"/>
    <Relationship TargetMode="External" Target="https://www.legis.iowa.gov/docs/iac/rule/481.429.2.pdf" Type="http://schemas.openxmlformats.org/officeDocument/2006/relationships/hyperlink" Id="rId20"/>
    <Relationship TargetMode="External" Target="https://www.legis.iowa.gov/docs/iac/rule/481.429.2.pdf" Type="http://schemas.openxmlformats.org/officeDocument/2006/relationships/hyperlink" Id="rId21"/>
    <Relationship TargetMode="External" Target="https://www.legis.iowa.gov/docs/iac/rule/481.429.2.pdf" Type="http://schemas.openxmlformats.org/officeDocument/2006/relationships/hyperlink" Id="rId22"/>
    <Relationship TargetMode="External" Target="https://www.legis.iowa.gov/docs/iac/rule/481.429.3.pdf" Type="http://schemas.openxmlformats.org/officeDocument/2006/relationships/hyperlink" Id="rId23"/>
    <Relationship TargetMode="External" Target="https://www.legis.iowa.gov/docs/iac/rule/481.429.2.pdf" Type="http://schemas.openxmlformats.org/officeDocument/2006/relationships/hyperlink" Id="rId24"/>
    <Relationship TargetMode="External" Target="https://www.legis.iowa.gov/docs/iac/rule/481.429.2.pdf" Type="http://schemas.openxmlformats.org/officeDocument/2006/relationships/hyperlink" Id="rId25"/>
    <Relationship TargetMode="External" Target="https://www.legis.iowa.gov/docs/iac/rule/481.431.8.pdf" Type="http://schemas.openxmlformats.org/officeDocument/2006/relationships/hyperlink" Id="rId26"/>
    <Relationship TargetMode="External" Target="https://www.legis.iowa.gov/docs/iac/rule/481.429.2.pdf" Type="http://schemas.openxmlformats.org/officeDocument/2006/relationships/hyperlink" Id="rId27"/>
    <Relationship TargetMode="External" Target="https://www.legis.iowa.gov/docs/iac/rule/481.429.2.pdf" Type="http://schemas.openxmlformats.org/officeDocument/2006/relationships/hyperlink" Id="rId28"/>
    <Relationship TargetMode="External" Target="https://www.legis.iowa.gov/docs/iac/rule/481.429.2.pdf" Type="http://schemas.openxmlformats.org/officeDocument/2006/relationships/hyperlink" Id="rId29"/>
    <Relationship TargetMode="External" Target="https://www.legis.iowa.gov/docs/iac/rule/481.429.2.pdf" Type="http://schemas.openxmlformats.org/officeDocument/2006/relationships/hyperlink" Id="rId30"/>
    <Relationship TargetMode="External" Target="https://www.legis.iowa.gov/docs/iac/rule/481.431.8.pdf" Type="http://schemas.openxmlformats.org/officeDocument/2006/relationships/hyperlink" Id="rId31"/>
    <Relationship TargetMode="External" Target="https://www.legis.iowa.gov/docs/iac/rule/481.428.1.pdf" Type="http://schemas.openxmlformats.org/officeDocument/2006/relationships/hyperlink" Id="rId32"/>
    <Relationship TargetMode="External" Target="https://www.legis.iowa.gov/docs/iac/rule/481.428.1.pdf" Type="http://schemas.openxmlformats.org/officeDocument/2006/relationships/hyperlink" Id="rId33"/>
    <Relationship TargetMode="External" Target="https://www.legis.iowa.gov/docs/iac/rule/481.429.13.pdf" Type="http://schemas.openxmlformats.org/officeDocument/2006/relationships/hyperlink" Id="rId34"/>
    <Relationship TargetMode="External" Target="https://www.legis.iowa.gov/docs/ico/chapter/105.9.pdf" Type="http://schemas.openxmlformats.org/officeDocument/2006/relationships/hyperlink" Id="rId35"/>
    <Relationship TargetMode="External" Target="https://www.legis.iowa.gov/docs/ico/chapter/105.9.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