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395</w:t>
      </w:r>
    </w:p>
    <w:p>
      <w:pPr>
        <w:spacing w:before="0" w:after="0"/>
        <w:ind w:left="120"/>
        <w:jc w:val="center"/>
      </w:pPr>
      <w:r>
        <w:rPr>
          <w:rFonts w:ascii="Times New Roman" w:hAnsi="Times New Roman"/>
          <w:b w:val="false"/>
          <w:i w:val="false"/>
          <w:color w:val="000000"/>
          <w:sz w:val="21"/>
        </w:rPr>
        <w:t>UNFIRED STEAM PRESSURE VESSELS</w:t>
      </w:r>
    </w:p>
    <w:p>
      <w:pPr>
        <w:spacing w:before="0" w:after="0"/>
        <w:ind w:left="120"/>
        <w:jc w:val="center"/>
      </w:pPr>
      <w:r>
        <w:rPr>
          <w:rFonts w:ascii="Times New Roman" w:hAnsi="Times New Roman"/>
          <w:b w:val="false"/>
          <w:i w:val="false"/>
          <w:color w:val="000000"/>
          <w:sz w:val="14"/>
        </w:rPr>
        <w:t>[Prior to 9/24/86, Labor, Bureau of[530] Ch 209]</w:t>
      </w:r>
    </w:p>
    <w:p>
      <w:pPr>
        <w:spacing w:before="0" w:after="0"/>
        <w:ind w:left="120"/>
        <w:jc w:val="center"/>
      </w:pPr>
      <w:r>
        <w:rPr>
          <w:rFonts w:ascii="Times New Roman" w:hAnsi="Times New Roman"/>
          <w:b w:val="false"/>
          <w:i w:val="false"/>
          <w:color w:val="000000"/>
          <w:sz w:val="14"/>
        </w:rPr>
        <w:t>[Prior to 1/14/98, see Labor Services[347] Ch 48]</w:t>
      </w:r>
    </w:p>
    <w:p>
      <w:pPr>
        <w:spacing w:before="0" w:after="0"/>
        <w:ind w:left="120"/>
        <w:jc w:val="center"/>
      </w:pPr>
      <w:r>
        <w:rPr>
          <w:rFonts w:ascii="Times New Roman" w:hAnsi="Times New Roman"/>
          <w:b w:val="false"/>
          <w:i w:val="false"/>
          <w:color w:val="000000"/>
          <w:sz w:val="14"/>
        </w:rPr>
        <w:t>[Prior to 8/16/06, see 875—Ch 209]</w:t>
      </w:r>
    </w:p>
    <w:p>
      <w:pPr>
        <w:spacing w:before="0" w:after="0"/>
        <w:ind w:left="120"/>
        <w:jc w:val="center"/>
      </w:pPr>
      <w:r>
        <w:rPr>
          <w:rFonts w:ascii="Times New Roman" w:hAnsi="Times New Roman"/>
          <w:b w:val="false"/>
          <w:i w:val="false"/>
          <w:color w:val="000000"/>
          <w:sz w:val="14"/>
        </w:rPr>
        <w:t>[Prior to 7/9/25, see Labor Services Division[875] Ch 96]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481—395.1</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5">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481—395.2</w:t>
      </w:r>
      <w:r>
        <w:rPr>
          <w:rFonts w:ascii="Times New Roman" w:hAnsi="Times New Roman"/>
          <w:b/>
          <w:i w:val="false"/>
          <w:color w:val="000000"/>
          <w:sz w:val="22"/>
        </w:rPr>
        <w:t xml:space="preserve">(89) </w:t>
      </w:r>
      <w:r>
        <w:rPr>
          <w:rFonts w:ascii="Times New Roman" w:hAnsi="Times New Roman"/>
          <w:b/>
          <w:i w:val="false"/>
          <w:color w:val="000000"/>
          <w:sz w:val="22"/>
        </w:rPr>
        <w:t xml:space="preserve">Objects installed prior to July 1, 1983—requirements.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w:t>
      </w:r>
      <w:r>
        <w:rPr>
          <w:rFonts w:ascii="Times New Roman" w:hAnsi="Times New Roman"/>
          <w:b w:val="false"/>
          <w:i w:val="false"/>
          <w:color w:val="000000"/>
          <w:sz w:val="22"/>
        </w:rPr>
        <w:t> </w:t>
      </w:r>
      <w:r>
        <w:rPr>
          <w:rFonts w:ascii="Times New Roman" w:hAnsi="Times New Roman"/>
          <w:b w:val="false"/>
          <w:i/>
          <w:color w:val="000000"/>
          <w:sz w:val="22"/>
        </w:rPr>
        <w:t xml:space="preserve">Maximum allowable working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code-stamped unfired steam pressure vessels will be determined in accordance with the applicable provisions of the ASME Code or American Petroleum Institute Code under which they were constructed and stamped.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on the shell of unfired steam pressure vessels without a code stamp will be determined by the following equation:</w:t>
      </w:r>
    </w:p>
    <w:tbl>
      <w:tblPr>
        <w:tblW w:w="5000" w:type="pct"/>
        <w:tblCellSpacing w:w="0" w:type="auto"/>
        <w:tblBorders>
          <w:top w:val="none"/>
          <w:left w:val="none"/>
          <w:bottom w:val="none"/>
          <w:right w:val="none"/>
          <w:insideH w:val="none"/>
          <w:insideV w:val="none"/>
        </w:tblBorders>
        <w:tblLayout w:type="fixed"/>
      </w:tblPr>
      <w:tblGrid>
        <w:gridCol w:w="968"/>
        <w:gridCol w:w="488"/>
        <w:gridCol w:w="4733"/>
        <w:gridCol w:w="5000"/>
      </w:tblGrid>
      <w:tr>
        <w:trPr>
          <w:trHeight w:val="450" w:hRule="atLeast"/>
        </w:trPr>
        <w:tc>
          <w:tcPr>
            <w:tcW w:w="96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u w:val="single"/>
              </w:rPr>
              <w:t>TStE</w:t>
            </w:r>
            <w:r>
              <w:br/>
            </w:r>
            <w:r>
              <w:rPr>
                <w:rFonts w:ascii="Times New Roman" w:hAnsi="Times New Roman"/>
                <w:b w:val="false"/>
                <w:i w:val="false"/>
                <w:color w:val="000000"/>
                <w:sz w:val="19"/>
              </w:rPr>
              <w:t>RFS</w:t>
            </w:r>
          </w:p>
        </w:tc>
        <w:tc>
          <w:tcPr>
            <w:tcW w:w="48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w:t>
            </w:r>
          </w:p>
        </w:tc>
        <w:tc>
          <w:tcPr>
            <w:tcW w:w="0" w:type="auto"/>
            <w:gridSpan w:val="2"/>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9"/>
              </w:rPr>
              <w:t>Maximum allowable working pressure, psig.</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Where:</w:t>
            </w:r>
          </w:p>
        </w:tc>
      </w:tr>
      <w:tr>
        <w:trPr>
          <w:trHeight w:val="45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TS</w:t>
            </w:r>
          </w:p>
        </w:tc>
        <w:tc>
          <w:tcPr>
            <w:tcW w:w="48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Ultimate tensile strength of shell plate(s), psig. When the tensile strength of a steel plate(s) is unknown, it shall be taken as 55,000 psig for temperatures not exceeding 650 degrees F.</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w:t>
            </w:r>
          </w:p>
        </w:tc>
        <w:tc>
          <w:tcPr>
            <w:tcW w:w="48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Minimum thickness of shell plates of the weakest course, in inches.</w:t>
            </w:r>
          </w:p>
        </w:tc>
      </w:tr>
      <w:tr>
        <w:trPr>
          <w:trHeight w:val="45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w:t>
            </w:r>
          </w:p>
        </w:tc>
        <w:tc>
          <w:tcPr>
            <w:tcW w:w="48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Efficiency of longitudinal joint. For riveted joints, use ASME Code, Section 1 (1971). For fusion-welded and brazed joints, use the following table:</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73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Single lap welded</w:t>
            </w:r>
            <w:r>
              <w:rPr>
                <w:rFonts w:ascii="Times New Roman" w:hAnsi="Times New Roman"/>
                <w:b w:val="false"/>
                <w:i w:val="false"/>
                <w:color w:val="000000"/>
                <w:sz w:val="19"/>
              </w:rPr>
              <w:t>40</w:t>
            </w:r>
          </w:p>
        </w:tc>
        <w:tc>
          <w:tcPr>
            <w:tcW w:w="5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73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Double lap welded</w:t>
            </w:r>
            <w:r>
              <w:rPr>
                <w:rFonts w:ascii="Times New Roman" w:hAnsi="Times New Roman"/>
                <w:b w:val="false"/>
                <w:i w:val="false"/>
                <w:color w:val="000000"/>
                <w:sz w:val="19"/>
              </w:rPr>
              <w:t>60</w:t>
            </w:r>
          </w:p>
        </w:tc>
        <w:tc>
          <w:tcPr>
            <w:tcW w:w="5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73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Single butt welded</w:t>
            </w:r>
            <w:r>
              <w:rPr>
                <w:rFonts w:ascii="Times New Roman" w:hAnsi="Times New Roman"/>
                <w:b w:val="false"/>
                <w:i w:val="false"/>
                <w:color w:val="000000"/>
                <w:sz w:val="19"/>
              </w:rPr>
              <w:t>60</w:t>
            </w:r>
          </w:p>
        </w:tc>
        <w:tc>
          <w:tcPr>
            <w:tcW w:w="5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73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Double butt welded</w:t>
            </w:r>
            <w:r>
              <w:rPr>
                <w:rFonts w:ascii="Times New Roman" w:hAnsi="Times New Roman"/>
                <w:b w:val="false"/>
                <w:i w:val="false"/>
                <w:color w:val="000000"/>
                <w:sz w:val="19"/>
              </w:rPr>
              <w:t>75</w:t>
            </w:r>
          </w:p>
        </w:tc>
        <w:tc>
          <w:tcPr>
            <w:tcW w:w="5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73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Forge welded</w:t>
            </w:r>
            <w:r>
              <w:rPr>
                <w:rFonts w:ascii="Times New Roman" w:hAnsi="Times New Roman"/>
                <w:b w:val="false"/>
                <w:i w:val="false"/>
                <w:color w:val="000000"/>
                <w:sz w:val="19"/>
              </w:rPr>
              <w:t>70</w:t>
            </w:r>
          </w:p>
        </w:tc>
        <w:tc>
          <w:tcPr>
            <w:tcW w:w="5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473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Brazed steel</w:t>
            </w:r>
            <w:r>
              <w:rPr>
                <w:rFonts w:ascii="Times New Roman" w:hAnsi="Times New Roman"/>
                <w:b w:val="false"/>
                <w:i w:val="false"/>
                <w:color w:val="000000"/>
                <w:sz w:val="19"/>
              </w:rPr>
              <w:t>80</w:t>
            </w:r>
          </w:p>
        </w:tc>
        <w:tc>
          <w:tcPr>
            <w:tcW w:w="5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675"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w:t>
            </w:r>
          </w:p>
        </w:tc>
        <w:tc>
          <w:tcPr>
            <w:tcW w:w="48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Inside radius of the weakest course of shell or drum in inches, provided the thickness does not exceed 10 percent of the radius. If the thickness is over 10 percent of the radius, the outer radius shall be used.</w:t>
            </w:r>
          </w:p>
        </w:tc>
      </w:tr>
      <w:tr>
        <w:trPr>
          <w:trHeight w:val="240" w:hRule="atLeast"/>
        </w:trPr>
        <w:tc>
          <w:tcPr>
            <w:tcW w:w="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FS</w:t>
            </w:r>
          </w:p>
        </w:tc>
        <w:tc>
          <w:tcPr>
            <w:tcW w:w="48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9"/>
              </w:rPr>
              <w:t>Factor of safety shall be four.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unfired steam pressure vessels without an ASME stamp subjected to external or collapsing pressure will be determined by the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395.2(2)</w:t>
      </w:r>
      <w:r>
        <w:rPr>
          <w:rFonts w:ascii="Times New Roman" w:hAnsi="Times New Roman"/>
          <w:b w:val="false"/>
          <w:i w:val="false"/>
          <w:color w:val="000000"/>
          <w:sz w:val="22"/>
        </w:rPr>
        <w:t> </w:t>
      </w:r>
      <w:r>
        <w:rPr>
          <w:rFonts w:ascii="Times New Roman" w:hAnsi="Times New Roman"/>
          <w:b w:val="false"/>
          <w:i/>
          <w:color w:val="000000"/>
          <w:sz w:val="22"/>
        </w:rPr>
        <w:t xml:space="preserve">End closures. </w:t>
      </w:r>
      <w:r>
        <w:rPr>
          <w:rFonts w:ascii="Times New Roman" w:hAnsi="Times New Roman"/>
          <w:b w:val="false"/>
          <w:i w:val="false"/>
          <w:color w:val="000000"/>
          <w:sz w:val="22"/>
        </w:rPr>
        <w:t>The maximum allowable working pressure permitted for formed heads under pressure will be determined by using the formulas in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395.2(3)</w:t>
      </w:r>
      <w:r>
        <w:rPr>
          <w:rFonts w:ascii="Times New Roman" w:hAnsi="Times New Roman"/>
          <w:b w:val="false"/>
          <w:i w:val="false"/>
          <w:color w:val="000000"/>
          <w:sz w:val="22"/>
        </w:rPr>
        <w:t> </w:t>
      </w:r>
      <w:r>
        <w:rPr>
          <w:rFonts w:ascii="Times New Roman" w:hAnsi="Times New Roman"/>
          <w:b w:val="false"/>
          <w:i/>
          <w:color w:val="000000"/>
          <w:sz w:val="22"/>
        </w:rPr>
        <w:t xml:space="preserve">Safety appliances. </w:t>
      </w:r>
      <w:r>
        <w:rPr>
          <w:rFonts w:ascii="Times New Roman" w:hAnsi="Times New Roman"/>
          <w:b w:val="false"/>
          <w:i w:val="false"/>
          <w:color w:val="000000"/>
          <w:sz w:val="22"/>
        </w:rPr>
        <w:t>Each unfired steam pressure vessel will be protected by such safety and relief valves and indicating and controlling devices as will ensure its safe operation. Valves will not readily be rendered inoperative. The relieving capacity of safety valves will be such as to prevent a rise of pressure in the vessel of more than 10 percent above maximum allowable working pressure, taking into account the effect of static head. Safety valve discharges will be carried to a safe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8891C</w:t>
      </w:r>
      <w:r>
        <w:rPr>
          <w:rFonts w:ascii="Times New Roman" w:hAnsi="Times New Roman"/>
          <w:b w:val="false"/>
          <w:i w:val="false"/>
          <w:color w:val="000000"/>
          <w:sz w:val="21"/>
        </w:rPr>
        <w:t xml:space="preserve"> (Notice ARC 8371C,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1.pdf" Type="http://schemas.openxmlformats.org/officeDocument/2006/relationships/hyperlink" Id="rId5"/>
    <Relationship TargetMode="External" Target="https://www.legis.iowa.gov/docs/ico/chapter/8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