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BOILER AND PRESSURE VESSEL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380</w:t>
      </w:r>
    </w:p>
    <w:p>
      <w:pPr>
        <w:spacing w:before="0" w:after="0"/>
        <w:ind w:left="120"/>
        <w:jc w:val="center"/>
      </w:pPr>
      <w:r>
        <w:rPr>
          <w:rFonts w:ascii="Times New Roman" w:hAnsi="Times New Roman"/>
          <w:b w:val="false"/>
          <w:i w:val="false"/>
          <w:color w:val="000000"/>
          <w:sz w:val="21"/>
        </w:rPr>
        <w:t xml:space="preserve">BOILER AND PRESSURE VESSEL BOARD </w:t>
      </w:r>
      <w:r>
        <w:br/>
      </w:r>
      <w:r>
        <w:rPr>
          <w:rFonts w:ascii="Times New Roman" w:hAnsi="Times New Roman"/>
          <w:b w:val="false"/>
          <w:i w:val="false"/>
          <w:color w:val="000000"/>
          <w:sz w:val="21"/>
        </w:rPr>
        <w:t>ADMINISTRATIVE AND REGULATORY AUTHORITY</w:t>
      </w:r>
    </w:p>
    <w:p>
      <w:pPr>
        <w:spacing w:before="0" w:after="0"/>
        <w:ind w:left="120"/>
        <w:jc w:val="center"/>
      </w:pPr>
      <w:r>
        <w:rPr>
          <w:rFonts w:ascii="Times New Roman" w:hAnsi="Times New Roman"/>
          <w:b w:val="false"/>
          <w:i w:val="false"/>
          <w:color w:val="000000"/>
          <w:sz w:val="20"/>
        </w:rPr>
        <w:t>[Prior to 7/9/25, see Labor Services Division[875] Ch 80]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481—380.1</w:t>
      </w:r>
      <w:r>
        <w:rPr>
          <w:rFonts w:ascii="Times New Roman" w:hAnsi="Times New Roman"/>
          <w:b/>
          <w:i w:val="false"/>
          <w:color w:val="000000"/>
          <w:sz w:val="22"/>
        </w:rPr>
        <w:t xml:space="preserve">(89)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this rule apply to 481—Chapters </w:t>
      </w:r>
      <w:hyperlink r:id="rId5">
        <w:r>
          <w:rPr>
            <w:rStyle w:val="Hyperlink"/>
            <w:rFonts w:ascii="Times New Roman" w:hAnsi="Times New Roman"/>
            <w:b w:val="false"/>
            <w:i w:val="false"/>
            <w:color w:val="000000"/>
            <w:sz w:val="22"/>
          </w:rPr>
          <w:t>380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395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boiler and pressure vessel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office”</w:t>
      </w:r>
      <w:r>
        <w:rPr>
          <w:rFonts w:ascii="Times New Roman" w:hAnsi="Times New Roman"/>
          <w:b w:val="false"/>
          <w:i w:val="false"/>
          <w:color w:val="000000"/>
          <w:sz w:val="22"/>
        </w:rPr>
        <w:t> </w:t>
      </w:r>
      <w:r>
        <w:rPr>
          <w:rFonts w:ascii="Times New Roman" w:hAnsi="Times New Roman"/>
          <w:b w:val="false"/>
          <w:i w:val="false"/>
          <w:color w:val="000000"/>
          <w:sz w:val="22"/>
        </w:rPr>
        <w:t>means the offices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inspections, appeals, and licensing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481—380.2</w:t>
      </w:r>
      <w:r>
        <w:rPr>
          <w:rFonts w:ascii="Times New Roman" w:hAnsi="Times New Roman"/>
          <w:b/>
          <w:i w:val="false"/>
          <w:color w:val="000000"/>
          <w:sz w:val="22"/>
        </w:rPr>
        <w:t xml:space="preserve">(89) </w:t>
      </w:r>
      <w:r>
        <w:rPr>
          <w:rFonts w:ascii="Times New Roman" w:hAnsi="Times New Roman"/>
          <w:b/>
          <w:i w:val="false"/>
          <w:color w:val="000000"/>
          <w:sz w:val="22"/>
        </w:rPr>
        <w:t xml:space="preserve">Authority of the board. </w:t>
      </w:r>
      <w:r>
        <w:rPr>
          <w:rFonts w:ascii="Times New Roman" w:hAnsi="Times New Roman"/>
          <w:b w:val="false"/>
          <w:i w:val="false"/>
          <w:color w:val="000000"/>
          <w:sz w:val="22"/>
        </w:rPr>
        <w:t>The authority and responsibilities of the board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380.2(1)</w:t>
      </w:r>
      <w:r>
        <w:rPr>
          <w:rFonts w:ascii="Times New Roman" w:hAnsi="Times New Roman"/>
          <w:b w:val="false"/>
          <w:i w:val="false"/>
          <w:color w:val="000000"/>
          <w:sz w:val="22"/>
        </w:rPr>
        <w:t> </w:t>
      </w:r>
      <w:r>
        <w:rPr>
          <w:rFonts w:ascii="Times New Roman" w:hAnsi="Times New Roman"/>
          <w:b w:val="false"/>
          <w:i w:val="false"/>
          <w:color w:val="000000"/>
          <w:sz w:val="22"/>
        </w:rPr>
        <w:t>Adopting rules necessary to protect public safety and health and to administer the duties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380.2(2)</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boiler and pressure vessel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380.2(3)</w:t>
      </w:r>
      <w:r>
        <w:rPr>
          <w:rFonts w:ascii="Times New Roman" w:hAnsi="Times New Roman"/>
          <w:b w:val="false"/>
          <w:i w:val="false"/>
          <w:color w:val="000000"/>
          <w:sz w:val="22"/>
        </w:rPr>
        <w:t> </w:t>
      </w:r>
      <w:r>
        <w:rPr>
          <w:rFonts w:ascii="Times New Roman" w:hAnsi="Times New Roman"/>
          <w:b w:val="false"/>
          <w:i w:val="false"/>
          <w:color w:val="000000"/>
          <w:sz w:val="22"/>
        </w:rPr>
        <w:t>Establishing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380.2(4)</w:t>
      </w:r>
      <w:r>
        <w:rPr>
          <w:rFonts w:ascii="Times New Roman" w:hAnsi="Times New Roman"/>
          <w:b w:val="false"/>
          <w:i w:val="false"/>
          <w:color w:val="000000"/>
          <w:sz w:val="22"/>
        </w:rPr>
        <w:t> </w:t>
      </w:r>
      <w:r>
        <w:rPr>
          <w:rFonts w:ascii="Times New Roman" w:hAnsi="Times New Roman"/>
          <w:b w:val="false"/>
          <w:i w:val="false"/>
          <w:color w:val="000000"/>
          <w:sz w:val="22"/>
        </w:rPr>
        <w:t>Establishing committees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481—380.3</w:t>
      </w:r>
      <w:r>
        <w:rPr>
          <w:rFonts w:ascii="Times New Roman" w:hAnsi="Times New Roman"/>
          <w:b/>
          <w:i w:val="false"/>
          <w:color w:val="000000"/>
          <w:sz w:val="22"/>
        </w:rPr>
        <w:t xml:space="preserve">(89) </w:t>
      </w:r>
      <w:r>
        <w:rPr>
          <w:rFonts w:ascii="Times New Roman" w:hAnsi="Times New Roman"/>
          <w:b/>
          <w:i w:val="false"/>
          <w:color w:val="000000"/>
          <w:sz w:val="22"/>
        </w:rPr>
        <w:t xml:space="preserve">Organization of board officers. </w:t>
      </w:r>
      <w:r>
        <w:rPr>
          <w:rFonts w:ascii="Times New Roman" w:hAnsi="Times New Roman"/>
          <w:b w:val="false"/>
          <w:i w:val="false"/>
          <w:color w:val="000000"/>
          <w:sz w:val="22"/>
        </w:rPr>
        <w:t>The board shall elect a chairperson, vice chairperson, and secretary from its membership at the first meeting after July 1 of each year. Neither the commissioner nor the commissioner’s designee may serve as chairperson. The chairperson presides at meetings, appoints committees, and performs all duties and exercises all powers of the chairperson. The vice chairperson, in the absence or incapacity of the chairperson, performs all duties and exercises all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481—380.4</w:t>
      </w:r>
      <w:r>
        <w:rPr>
          <w:rFonts w:ascii="Times New Roman" w:hAnsi="Times New Roman"/>
          <w:b/>
          <w:i w:val="false"/>
          <w:color w:val="000000"/>
          <w:sz w:val="22"/>
        </w:rPr>
        <w:t xml:space="preserve">(21,89) </w:t>
      </w:r>
      <w:r>
        <w:rPr>
          <w:rFonts w:ascii="Times New Roman" w:hAnsi="Times New Roman"/>
          <w:b/>
          <w:i w:val="false"/>
          <w:color w:val="000000"/>
          <w:sz w:val="22"/>
        </w:rPr>
        <w:t xml:space="preserve">Public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380.4(1)</w:t>
      </w:r>
      <w:r>
        <w:rPr>
          <w:rFonts w:ascii="Times New Roman" w:hAnsi="Times New Roman"/>
          <w:b w:val="false"/>
          <w:i w:val="false"/>
          <w:color w:val="000000"/>
          <w:sz w:val="22"/>
        </w:rPr>
        <w:t> </w:t>
      </w:r>
      <w:r>
        <w:rPr>
          <w:rFonts w:ascii="Times New Roman" w:hAnsi="Times New Roman"/>
          <w:b w:val="false"/>
          <w:i w:val="false"/>
          <w:color w:val="000000"/>
          <w:sz w:val="22"/>
        </w:rPr>
        <w:t>The board shall hold at least one meeting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are governed in accordance with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and the board’s proceedings are conducted in accordance with Robert’s Rules of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380.4(3)</w:t>
      </w:r>
      <w:r>
        <w:rPr>
          <w:rFonts w:ascii="Times New Roman" w:hAnsi="Times New Roman"/>
          <w:b w:val="false"/>
          <w:i w:val="false"/>
          <w:color w:val="000000"/>
          <w:sz w:val="22"/>
        </w:rPr>
        <w:t> </w:t>
      </w:r>
      <w:r>
        <w:rPr>
          <w:rFonts w:ascii="Times New Roman" w:hAnsi="Times New Roman"/>
          <w:b w:val="false"/>
          <w:i w:val="false"/>
          <w:color w:val="000000"/>
          <w:sz w:val="22"/>
        </w:rPr>
        <w:t>The chairperson or the chairperson’s designee will prepare an agenda listing all matters to be discussed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constitute a quorum, and all final motions and actions must receive a majority of a quorum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380.4(5)</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the public may be present during board meetings unless the board votes to hold a closed session in accordance with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dates and locations of board meetings may be obtained from the board’s website or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380.4(6)</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public comment period, any person may speak for up to two minutes. Requests to speak for two minutes per person when a particular topic comes before the board may be granted at the discretion of the chairperson. The chairperson may limit total public comment time to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380.4(7)</w:t>
      </w:r>
      <w:r>
        <w:rPr>
          <w:rFonts w:ascii="Times New Roman" w:hAnsi="Times New Roman"/>
          <w:b w:val="false"/>
          <w:i w:val="false"/>
          <w:color w:val="000000"/>
          <w:sz w:val="22"/>
        </w:rPr>
        <w:t> </w:t>
      </w:r>
      <w:r>
        <w:rPr>
          <w:rFonts w:ascii="Times New Roman" w:hAnsi="Times New Roman"/>
          <w:b w:val="false"/>
          <w:i w:val="false"/>
          <w:color w:val="000000"/>
          <w:sz w:val="22"/>
        </w:rPr>
        <w:t>The person presiding at a meeting of the board may exclude a person from an open meeting for behavior that obstructs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481—380.5</w:t>
      </w:r>
      <w:r>
        <w:rPr>
          <w:rFonts w:ascii="Times New Roman" w:hAnsi="Times New Roman"/>
          <w:b/>
          <w:i w:val="false"/>
          <w:color w:val="000000"/>
          <w:sz w:val="22"/>
        </w:rPr>
        <w:t xml:space="preserve">(17A,89) </w:t>
      </w:r>
      <w:r>
        <w:rPr>
          <w:rFonts w:ascii="Times New Roman" w:hAnsi="Times New Roman"/>
          <w:b/>
          <w:i w:val="false"/>
          <w:color w:val="000000"/>
          <w:sz w:val="22"/>
        </w:rPr>
        <w:t xml:space="preserve">Procedures for waivers in addition to 7—Chapter 2504.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380.5(1)</w:t>
      </w:r>
      <w:r>
        <w:rPr>
          <w:rFonts w:ascii="Times New Roman" w:hAnsi="Times New Roman"/>
          <w:b w:val="false"/>
          <w:i w:val="false"/>
          <w:color w:val="000000"/>
          <w:sz w:val="22"/>
        </w:rPr>
        <w:t> </w:t>
      </w:r>
      <w:r>
        <w:rPr>
          <w:rFonts w:ascii="Times New Roman" w:hAnsi="Times New Roman"/>
          <w:b w:val="false"/>
          <w:i/>
          <w:color w:val="000000"/>
          <w:sz w:val="22"/>
        </w:rPr>
        <w:t xml:space="preserve">Filing petition. </w:t>
      </w:r>
      <w:r>
        <w:rPr>
          <w:rFonts w:ascii="Times New Roman" w:hAnsi="Times New Roman"/>
          <w:b w:val="false"/>
          <w:i w:val="false"/>
          <w:color w:val="000000"/>
          <w:sz w:val="22"/>
        </w:rPr>
        <w:t>A petition is deemed filed when it is received in the board’s office. A petition and related materials for consideration should be sent to the Boiler and Pressure Vessel Board, Department of Inspections, Appeals, and Licensing,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state boiler identification number of the relevant object. The required form for a petition for waiver is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380.5(3)</w:t>
      </w:r>
      <w:r>
        <w:rPr>
          <w:rFonts w:ascii="Times New Roman" w:hAnsi="Times New Roman"/>
          <w:b w:val="false"/>
          <w:i w:val="false"/>
          <w:color w:val="000000"/>
          <w:sz w:val="22"/>
        </w:rPr>
        <w:t> </w:t>
      </w:r>
      <w:r>
        <w:rPr>
          <w:rFonts w:ascii="Times New Roman" w:hAnsi="Times New Roman"/>
          <w:b w:val="false"/>
          <w:i/>
          <w:color w:val="000000"/>
          <w:sz w:val="22"/>
        </w:rPr>
        <w:t xml:space="preserve">Posting of orders granting waivers. </w:t>
      </w:r>
      <w:r>
        <w:rPr>
          <w:rFonts w:ascii="Times New Roman" w:hAnsi="Times New Roman"/>
          <w:b w:val="false"/>
          <w:i w:val="false"/>
          <w:color w:val="000000"/>
          <w:sz w:val="22"/>
        </w:rPr>
        <w:t>The order or a copy of the order granting a waiver shall be conspicuously and permanently posted in the room where the object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380.5(4)</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Violation of a condition in a waiver order is a violation of the particular rule for which the waiver was granted. The recipient of a waiver under this rule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0255D</w:t>
      </w:r>
      <w:r>
        <w:rPr>
          <w:rFonts w:ascii="Times New Roman" w:hAnsi="Times New Roman"/>
          <w:b w:val="false"/>
          <w:i w:val="false"/>
          <w:color w:val="000000"/>
          <w:sz w:val="16"/>
        </w:rPr>
        <w:t>, IAB 5/13/26, effective 4/23/26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481—380.6</w:t>
      </w:r>
      <w:r>
        <w:rPr>
          <w:rFonts w:ascii="Times New Roman" w:hAnsi="Times New Roman"/>
          <w:b/>
          <w:i w:val="false"/>
          <w:color w:val="000000"/>
          <w:sz w:val="22"/>
        </w:rPr>
        <w:t xml:space="preserve">(17A,89) </w:t>
      </w:r>
      <w:r>
        <w:rPr>
          <w:rFonts w:ascii="Times New Roman" w:hAnsi="Times New Roman"/>
          <w:b/>
          <w:i w:val="false"/>
          <w:color w:val="000000"/>
          <w:sz w:val="22"/>
        </w:rPr>
        <w:t xml:space="preserve">Procedures for contested cases in addition to 7—Chapter 2506.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380.6(1)</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inspection report. </w:t>
      </w:r>
      <w:r>
        <w:rPr>
          <w:rFonts w:ascii="Times New Roman" w:hAnsi="Times New Roman"/>
          <w:b w:val="false"/>
          <w:i w:val="false"/>
          <w:color w:val="000000"/>
          <w:sz w:val="22"/>
        </w:rPr>
        <w:t xml:space="preserve">The owner or operator of a piece of equipment subject to a written inspection report may petition the director for reconsideration of the report within 30 days of the issuance of the report. Failure to seek timely reconsideration of the inspection report from the director is a waiver of all appeal rights under Iowa Code section </w:t>
      </w:r>
      <w:hyperlink r:id="rId9">
        <w:r>
          <w:rPr>
            <w:rStyle w:val="Hyperlink"/>
            <w:rFonts w:ascii="Times New Roman" w:hAnsi="Times New Roman"/>
            <w:b w:val="false"/>
            <w:i w:val="false"/>
            <w:color w:val="000000"/>
            <w:sz w:val="22"/>
          </w:rPr>
          <w:t>89.14(6)</w:t>
        </w:r>
      </w:hyperlink>
      <w:r>
        <w:rPr>
          <w:rFonts w:ascii="Times New Roman" w:hAnsi="Times New Roman"/>
          <w:b w:val="false"/>
          <w:i w:val="false"/>
          <w:color w:val="000000"/>
          <w:sz w:val="22"/>
        </w:rPr>
        <w:t>. The burden of demonstrating compliance with all applicable statutory provisions, administrative rules, and ASME Code sections rests upon the petitioning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petition for reconsideration must be signed by the requesting party or a representative of that party. The required form for a petition for reconsideration is available on the board’s website. A petition for reconsideration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party seeking reconsideration,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equipment subject to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inspector who issued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challenged inspection report shall be attached to the petition for reconsideration along with all relevant documents that the petitioning party desires the director to consider when evaluating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or a designee of the director is authorized to seek additional information relating to a petition for reconsideration from the petitioning party or any other entity possessing information the director deems relevant to the petition. This subrule, however, does not impose any responsibility or duty on the director to discover documents or other information that was not submitted with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received by the office of the director within 30 days of the issuance of the challenged inspection report is untimely and will not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waivers of administrative rules may only be made to the board pursuant to the provisions of rule </w:t>
      </w:r>
      <w:hyperlink r:id="rId10">
        <w:r>
          <w:rPr>
            <w:rStyle w:val="Hyperlink"/>
            <w:rFonts w:ascii="Times New Roman" w:hAnsi="Times New Roman"/>
            <w:b w:val="false"/>
            <w:i w:val="false"/>
            <w:color w:val="000000"/>
            <w:sz w:val="22"/>
          </w:rPr>
          <w:t>481—380.5(17A,89)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ruling on a petition for reconsideration, the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Affirm the inspection report 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Issue an amended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Rescind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Deny the petition as untimely.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ruled upon by the director within 20 days of receipt by the office of the director is denied by the director, and the challenged inspection report will be considered affirmed 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380.6(2)</w:t>
      </w:r>
      <w:r>
        <w:rPr>
          <w:rFonts w:ascii="Times New Roman" w:hAnsi="Times New Roman"/>
          <w:b w:val="false"/>
          <w:i w:val="false"/>
          <w:color w:val="000000"/>
          <w:sz w:val="22"/>
        </w:rPr>
        <w:t> </w:t>
      </w:r>
      <w:r>
        <w:rPr>
          <w:rFonts w:ascii="Times New Roman" w:hAnsi="Times New Roman"/>
          <w:b w:val="false"/>
          <w:i/>
          <w:color w:val="000000"/>
          <w:sz w:val="22"/>
        </w:rPr>
        <w:t xml:space="preserve">Appeal to the board. </w:t>
      </w:r>
      <w:r>
        <w:rPr>
          <w:rFonts w:ascii="Times New Roman" w:hAnsi="Times New Roman"/>
          <w:b w:val="false"/>
          <w:i w:val="false"/>
          <w:color w:val="000000"/>
          <w:sz w:val="22"/>
        </w:rPr>
        <w:t xml:space="preserve">The director’s ruling on a petition for reconsideration or the director’s deemed denial of a petition for reconsideration may be appealed to the board. An appeal must be filed in writing with the board within 30 calendar days of the earlier of either the issuance of the director’s written ruling on a petition for reconsideration or the director’s deemed denial of a petition for reconsideration. At a minimum, an appeal includes a short and concise statement of the basis for the appeal. The required form for an appeal is available on the board’s website. Consideration of an appeal of a ruling on a petition for reconsideration is a contested case proceeding subject to the provisions of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director has an automatic right of intervention in any appeal of the ruling on petition for reconsideration and may defend the ruling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380.6(3)</w:t>
      </w:r>
      <w:r>
        <w:rPr>
          <w:rFonts w:ascii="Times New Roman" w:hAnsi="Times New Roman"/>
          <w:b w:val="false"/>
          <w:i w:val="false"/>
          <w:color w:val="000000"/>
          <w:sz w:val="22"/>
        </w:rPr>
        <w:t> </w:t>
      </w:r>
      <w:r>
        <w:rPr>
          <w:rFonts w:ascii="Times New Roman" w:hAnsi="Times New Roman"/>
          <w:b w:val="false"/>
          <w:i/>
          <w:color w:val="000000"/>
          <w:sz w:val="22"/>
        </w:rPr>
        <w:t xml:space="preserve">Informal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preserve the ability of board members to participate in decision making, parties who desire participation in an informal review must therefore waive their right to seek disqualification of a board member based solely on the board member’s participation in the informal review. Parties would not be waiving their right to seek disqualification on any other ground. By electing to participate in informal review, a party accordingly agrees that a participating board member is not disqualified from acting as a presiding officer in a later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propose a preliminary order at the time of informal review. If a party does not consent to the preliminary order, the party must submit a request to proceed with formal contested case proceedings, including hearing, within ten days of the informal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File transmitted to the board. Upon receipt of a notice of hearing issued by the board, the director shall within 30 days forward to the board and all parties of record to the appeal copies of the challenged inspection report, the appellant’s petition for reconsideration and all supporting documents, all other documents collected by the director in ruling on the petition for reconsideration, and the director’s ruling on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380.6(4)</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all contested cases is the board, a panel of board members, or an administrative law judge assigned by the department of inspections, appeals, and licensing. When board members act as presiding officer, they conduct the hearing and issue either a final decision or, if a quorum of the board is not present, a proposed decision. The board may be assisted by an administrative law judge when the board acts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rulings by an administrative law judge who acts either as presiding officer or assistant to the board are subject to appeal to the board. A party must timely seek intra-agency appeal of prehearing rulings or proposed decisions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 panel of the board or an administrative law judge, board members have the powers of and shall comply with the provisions of this chapter that apply to presiding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380.6(5)</w:t>
      </w:r>
      <w:r>
        <w:rPr>
          <w:rFonts w:ascii="Times New Roman" w:hAnsi="Times New Roman"/>
          <w:b w:val="false"/>
          <w:i w:val="false"/>
          <w:color w:val="000000"/>
          <w:sz w:val="22"/>
        </w:rPr>
        <w:t> </w:t>
      </w:r>
      <w:r>
        <w:rPr>
          <w:rFonts w:ascii="Times New Roman" w:hAnsi="Times New Roman"/>
          <w:b w:val="false"/>
          <w:i/>
          <w:color w:val="000000"/>
          <w:sz w:val="22"/>
        </w:rPr>
        <w:t xml:space="preserve">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chairperson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 ruling of an administrative law judge and who desires to challenge that ruling must appeal the ruling to the board by serving to the board,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party whose appeal is the subject of the contested case, the board’s decision is final for purposes of judicial review. If the person contesting the subpoena is the party whose appeal is the subject of the contested case, the board’s decision is not final for purposes of judicial review until there is a final decision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380.6(6)</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 panel of less than a quorum of the board or by an administrative law judge are proposed decisions. A proposed decision issued by a panel of the board or an administrative law judge becomes a final decision if not timely appealed by any party or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a quorum of the board presides over the reception of evidence at the hearing, the decision is a final decision. A copy of the final decision and order shall immediately be sent by certified mail to the appellant’s last-known post office address or may be served as in the manner of original notices. Copies shall be mailed by interoffice mail or first-class mail to the counsel of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0255D</w:t>
      </w:r>
      <w:r>
        <w:rPr>
          <w:rFonts w:ascii="Times New Roman" w:hAnsi="Times New Roman"/>
          <w:b w:val="false"/>
          <w:i w:val="false"/>
          <w:color w:val="000000"/>
          <w:sz w:val="16"/>
        </w:rPr>
        <w:t>, IAB 5/13/26, effective 4/23/26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481—380.7</w:t>
      </w:r>
      <w:r>
        <w:rPr>
          <w:rFonts w:ascii="Times New Roman" w:hAnsi="Times New Roman"/>
          <w:b/>
          <w:i w:val="false"/>
          <w:color w:val="000000"/>
          <w:sz w:val="22"/>
        </w:rPr>
        <w:t xml:space="preserve">(89)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go to the Boiler and Pressure Vessel Board, Department of Inspections, Appeals, and Licensing,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i w:val="false"/>
          <w:color w:val="000000"/>
          <w:sz w:val="16"/>
        </w:rPr>
        <w:t>ARC 0255D</w:t>
      </w:r>
      <w:r>
        <w:rPr>
          <w:rFonts w:ascii="Times New Roman" w:hAnsi="Times New Roman"/>
          <w:b w:val="false"/>
          <w:i w:val="false"/>
          <w:color w:val="000000"/>
          <w:sz w:val="16"/>
        </w:rPr>
        <w:t>, IAB 5/13/26, effective 4/23/26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9082B</w:t>
      </w:r>
      <w:r>
        <w:rPr>
          <w:rFonts w:ascii="Times New Roman" w:hAnsi="Times New Roman"/>
          <w:b w:val="false"/>
          <w:i w:val="false"/>
          <w:color w:val="000000"/>
          <w:sz w:val="21"/>
        </w:rPr>
        <w:t xml:space="preserve"> (Notice ARC 8694B, IAB 4/21/10)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8882C</w:t>
      </w:r>
      <w:r>
        <w:rPr>
          <w:rFonts w:ascii="Times New Roman" w:hAnsi="Times New Roman"/>
          <w:b w:val="false"/>
          <w:i w:val="false"/>
          <w:color w:val="000000"/>
          <w:sz w:val="21"/>
        </w:rPr>
        <w:t xml:space="preserve"> (Notice ARC 8364C,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[Filed Emergency ARC 0255D, IAB 5/13/26, effective 4/23/26]</w:t>
      </w:r>
    </w:p>
    <w:p>
      <w:pPr>
        <w:spacing w:before="0" w:after="0"/>
        <w:ind w:left="120"/>
        <w:jc w:val="center"/>
      </w:pPr>
      <w:r>
        <w:rPr>
          <w:rFonts w:ascii="Times New Roman" w:hAnsi="Times New Roman"/>
          <w:b w:val="false"/>
          <w:i w:val="false"/>
          <w:color w:val="000000"/>
          <w:sz w:val="21"/>
        </w:rPr>
        <w:t>[Editorial change: IAC Supplement 8/5/26]</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80.pdf" Type="http://schemas.openxmlformats.org/officeDocument/2006/relationships/hyperlink" Id="rId5"/>
    <Relationship TargetMode="External" Target="https://www.legis.iowa.gov/docs/iac/chapter/481.395.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89.14.pdf" Type="http://schemas.openxmlformats.org/officeDocument/2006/relationships/hyperlink" Id="rId9"/>
    <Relationship TargetMode="External" Target="https://www.legis.iowa.gov/docs/iac/rule/481.380.5.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21.pdf" Type="http://schemas.openxmlformats.org/officeDocument/2006/relationships/hyperlink" Id="rId12"/>
    <Relationship TargetMode="External" Target="https://www.legis.iowa.gov/docs/ico/chapter/89.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