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373</w:t>
      </w:r>
    </w:p>
    <w:p>
      <w:pPr>
        <w:spacing w:before="0" w:after="0"/>
        <w:ind w:left="120"/>
        <w:jc w:val="center"/>
      </w:pPr>
      <w:r>
        <w:rPr>
          <w:rFonts w:ascii="Times New Roman" w:hAnsi="Times New Roman"/>
          <w:b w:val="false"/>
          <w:i w:val="false"/>
          <w:color w:val="000000"/>
          <w:sz w:val="21"/>
        </w:rPr>
        <w:t>CONVEYANCES INSTALLED PRIOR TO JANUARY 1, 1975</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73]</w:t>
      </w:r>
    </w:p>
    <w:p>
      <w:pPr>
        <w:spacing w:before="0" w:after="0"/>
        <w:ind w:left="120"/>
        <w:jc w:val="center"/>
      </w:pPr>
      <w:r>
        <w:rPr>
          <w:rFonts w:ascii="Times New Roman" w:hAnsi="Times New Roman"/>
          <w:b w:val="false"/>
          <w:i w:val="false"/>
          <w:color w:val="000000"/>
          <w:sz w:val="14"/>
        </w:rPr>
        <w:t>[Prior to 7/9/25, see Labor Services Division[875] Ch 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481—373.1</w:t>
      </w:r>
      <w:r>
        <w:rPr>
          <w:rFonts w:ascii="Times New Roman" w:hAnsi="Times New Roman"/>
          <w:b/>
          <w:i w:val="false"/>
          <w:color w:val="000000"/>
          <w:sz w:val="22"/>
        </w:rPr>
        <w:t xml:space="preserve">(89A) </w:t>
      </w:r>
      <w:r>
        <w:rPr>
          <w:rFonts w:ascii="Times New Roman" w:hAnsi="Times New Roman"/>
          <w:b/>
          <w:i w:val="false"/>
          <w:color w:val="000000"/>
          <w:sz w:val="22"/>
        </w:rPr>
        <w:t xml:space="preserve">Scope, definitions, and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minimum safety standards for all conveyances installed prior to January 1, 1975, except material lift elevators. Conveyances installed on or after January 1, 1975, shall conform with the requirements set forth in </w:t>
      </w:r>
      <w:hyperlink r:id="rId5">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xml:space="preserve">. Material lift elevators installed prior to January 1, 1975, are not subject to regulation pursuant to Iowa Code section </w:t>
      </w:r>
      <w:hyperlink r:id="rId6">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contained in American National Standard Safety Code for Elevators, Dumbwaiters, Escalators, and Moving Walks, A17.1 (1971), are applicable as used in this chapter to the extent that they do not conflict with the definitions contained in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481—Chapter 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373.1(3)</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of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will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substitutes for the final sentence of A17.3 (2011), Rule 2.1.5(b): “Previously installed 60-inch chains are deemed to be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is not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Electrical protective devices required by A17.3, requirement 3.10.4, shall cause the electric power to be removed from the elevator driving-machine motor and brake.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Control panels that are designed with a door or cover and lock shall be locked when service is not being performed if equipment unrelated to the elevator is in the machine room. Group 1 security as set forth in A17.1, section 8.1,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car top emergency exit pursuant to A</w:t>
      </w:r>
      <w:r>
        <w:rPr>
          <w:rFonts w:ascii="Times New Roman" w:hAnsi="Times New Roman"/>
          <w:b w:val="false"/>
          <w:i w:val="false"/>
          <w:color w:val="000000"/>
          <w:sz w:val="22"/>
        </w:rPr>
        <w:t>17.3 (2011)</w:t>
      </w:r>
      <w:r>
        <w:rPr>
          <w:rFonts w:ascii="Times New Roman" w:hAnsi="Times New Roman"/>
          <w:b w:val="false"/>
          <w:i w:val="false"/>
          <w:color w:val="000000"/>
          <w:sz w:val="22"/>
        </w:rPr>
        <w:t>, requirement 3.4.4.1(a), is not required for a hydraulic elevator if the elevator has manual lowering and it is not equipped with a plunger gripper or safety as described in ASME A</w:t>
      </w:r>
      <w:r>
        <w:rPr>
          <w:rFonts w:ascii="Times New Roman" w:hAnsi="Times New Roman"/>
          <w:b w:val="false"/>
          <w:i w:val="false"/>
          <w:color w:val="000000"/>
          <w:sz w:val="22"/>
        </w:rPr>
        <w:t>17.1 (2013)</w:t>
      </w:r>
      <w:r>
        <w:rPr>
          <w:rFonts w:ascii="Times New Roman" w:hAnsi="Times New Roman"/>
          <w:b w:val="false"/>
          <w:i w:val="false"/>
          <w:color w:val="000000"/>
          <w:sz w:val="22"/>
        </w:rPr>
        <w:t>, requirement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373.1(4)</w:t>
      </w:r>
      <w:r>
        <w:rPr>
          <w:rFonts w:ascii="Times New Roman" w:hAnsi="Times New Roman"/>
          <w:b w:val="false"/>
          <w:i w:val="false"/>
          <w:color w:val="000000"/>
          <w:sz w:val="22"/>
        </w:rPr>
        <w:t> </w:t>
      </w:r>
      <w:r>
        <w:rPr>
          <w:rFonts w:ascii="Times New Roman" w:hAnsi="Times New Roman"/>
          <w:b w:val="false"/>
          <w:i w:val="false"/>
          <w:color w:val="000000"/>
          <w:sz w:val="22"/>
        </w:rPr>
        <w:t>The American Society of Mechanical Engineers Safety Code for Elevators and Escalators, A17.1-2013/CSA B44-13 (2013), Rule 2.14.7.1.4, concerning car top lighting and car top electrical outlets, is adopted by reference with an effective date of May 1, 2021. However, if a car top already has a single outlet, installation of a duplex outlet will not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481—373.2</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Electrical protective devices. </w:t>
      </w:r>
      <w:r>
        <w:rPr>
          <w:rFonts w:ascii="Times New Roman" w:hAnsi="Times New Roman"/>
          <w:b w:val="false"/>
          <w:i w:val="false"/>
          <w:color w:val="000000"/>
          <w:sz w:val="22"/>
        </w:rPr>
        <w:t>All electrical equipment pertaining to the elevator shall conform to ANSI C1-1975 (NFPA 70-1975).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481—373.3</w:t>
      </w:r>
      <w:r>
        <w:rPr>
          <w:rFonts w:ascii="Times New Roman" w:hAnsi="Times New Roman"/>
          <w:b/>
          <w:i w:val="false"/>
          <w:color w:val="000000"/>
          <w:sz w:val="22"/>
        </w:rPr>
        <w:t xml:space="preserve">(89A) </w:t>
      </w:r>
      <w:r>
        <w:rPr>
          <w:rFonts w:ascii="Times New Roman" w:hAnsi="Times New Roman"/>
          <w:b/>
          <w:i w:val="false"/>
          <w:color w:val="000000"/>
          <w:sz w:val="22"/>
        </w:rPr>
        <w:t xml:space="preserve">Maintenance, repair and 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set forth in this rule, all maintenance, repairs and alterations comply with the edition of ASME A17.1, Part 8, currently adopted for new conveyances or ASME A17.7-2007/CSA B44-07, as applicable. Alterations that require that the entire conveyance be brought into compliance with the most current code are described in </w:t>
      </w:r>
      <w:hyperlink r:id="rId9">
        <w:r>
          <w:rPr>
            <w:rStyle w:val="Hyperlink"/>
            <w:rFonts w:ascii="Times New Roman" w:hAnsi="Times New Roman"/>
            <w:b w:val="false"/>
            <w:i w:val="false"/>
            <w:color w:val="000000"/>
            <w:sz w:val="22"/>
          </w:rPr>
          <w:t>481—Chapter 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The full length of the platform guard set forth in ASME A17.1, Rule 2.15.9.2(a), is not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installations,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elevator controls,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10">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 xml:space="preserve">(89A). For purposes of this subrule, the relevant subrule of rule </w:t>
      </w:r>
      <w:hyperlink r:id="rId11">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373.3(6)</w:t>
      </w:r>
      <w:r>
        <w:rPr>
          <w:rFonts w:ascii="Times New Roman" w:hAnsi="Times New Roman"/>
          <w:b w:val="false"/>
          <w:i w:val="false"/>
          <w:color w:val="000000"/>
          <w:sz w:val="22"/>
        </w:rPr>
        <w:t> </w:t>
      </w:r>
      <w:r>
        <w:rPr>
          <w:rFonts w:ascii="Times New Roman" w:hAnsi="Times New Roman"/>
          <w:b w:val="false"/>
          <w:i/>
          <w:color w:val="000000"/>
          <w:sz w:val="22"/>
        </w:rPr>
        <w:t xml:space="preserve">Safety bulkheads. </w:t>
      </w:r>
      <w:r>
        <w:rPr>
          <w:rFonts w:ascii="Times New Roman" w:hAnsi="Times New Roman"/>
          <w:b w:val="false"/>
          <w:i w:val="false"/>
          <w:color w:val="000000"/>
          <w:sz w:val="22"/>
        </w:rPr>
        <w:t>Documentation from the manufacturer establishing that a safety bulkhead was installed shall establish compliance with ASME A17.1, Rule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373.3(7)</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complies with the portions of ASME A17.1, section 5.3, applicable to the component. The edition of ASME A17.1 adopted by reference in rule </w:t>
      </w:r>
      <w:hyperlink r:id="rId12">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373.3(8)</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is installed in the hoistway of the elevator. Three-way switches to control the hoistway lighting are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481—373.4</w:t>
      </w:r>
      <w:r>
        <w:rPr>
          <w:rFonts w:ascii="Times New Roman" w:hAnsi="Times New Roman"/>
          <w:b/>
          <w:i w:val="false"/>
          <w:color w:val="000000"/>
          <w:sz w:val="22"/>
        </w:rPr>
        <w:t xml:space="preserve">(89A) </w:t>
      </w:r>
      <w:r>
        <w:rPr>
          <w:rFonts w:ascii="Times New Roman" w:hAnsi="Times New Roman"/>
          <w:b/>
          <w:i w:val="false"/>
          <w:color w:val="000000"/>
          <w:sz w:val="22"/>
        </w:rPr>
        <w:t xml:space="preserve">Existing hand elevators. </w:t>
      </w:r>
      <w:r>
        <w:rPr>
          <w:rFonts w:ascii="Times New Roman" w:hAnsi="Times New Roman"/>
          <w:b w:val="false"/>
          <w:i w:val="false"/>
          <w:color w:val="000000"/>
          <w:sz w:val="22"/>
        </w:rPr>
        <w:t>A sign reading “Danger—Elevator Hoistway—Keep Closed” shall be mounted on each hoistway door with letters at least 2 inches high.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481—373.5</w:t>
      </w:r>
      <w:r>
        <w:rPr>
          <w:rFonts w:ascii="Times New Roman" w:hAnsi="Times New Roman"/>
          <w:b/>
          <w:i w:val="false"/>
          <w:color w:val="000000"/>
          <w:sz w:val="22"/>
        </w:rPr>
        <w:t xml:space="preserve">(89A) </w:t>
      </w:r>
      <w:r>
        <w:rPr>
          <w:rFonts w:ascii="Times New Roman" w:hAnsi="Times New Roman"/>
          <w:b/>
          <w:i w:val="false"/>
          <w:color w:val="000000"/>
          <w:sz w:val="22"/>
        </w:rPr>
        <w:t xml:space="preserve">Dumbwaiters. </w:t>
      </w:r>
      <w:r>
        <w:rPr>
          <w:rFonts w:ascii="Times New Roman" w:hAnsi="Times New Roman"/>
          <w:b w:val="false"/>
          <w:i w:val="false"/>
          <w:color w:val="000000"/>
          <w:sz w:val="22"/>
        </w:rPr>
        <w:t>All dumbwaiters whether electric or hand powered conform to ANSI A17.1 (1971), section 700. Exceptions: Required rules for hoistway construction as set forth in ANSI A17.1 (1971), do not apply to existing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481—373.6</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 requirements.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do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will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481—373.7</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373.7(1)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373.7(2)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481—373.8</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 requirements. </w:t>
      </w:r>
      <w:r>
        <w:rPr>
          <w:rFonts w:ascii="Times New Roman" w:hAnsi="Times New Roman"/>
          <w:b w:val="false"/>
          <w:i w:val="false"/>
          <w:color w:val="000000"/>
          <w:sz w:val="22"/>
        </w:rPr>
        <w:t>All handicapped restricted use elevators must meet ANSI A17.1 (1981), Part V. Additionally, the elevators will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is used only by a maximum of one disabled person and one attendant at a time. Where a disabled individual cannot operate the elevator in a manner that will ensure access to all operating controls and safety features, an attendant accompanies the disabled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is key-operated and not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are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is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10/16/75—published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10/17/07, Notice 8/1/07—published 11/7/07, effective 12/12/07]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8760B</w:t>
      </w:r>
      <w:r>
        <w:rPr>
          <w:rFonts w:ascii="Times New Roman" w:hAnsi="Times New Roman"/>
          <w:b w:val="false"/>
          <w:i w:val="false"/>
          <w:color w:val="000000"/>
          <w:sz w:val="21"/>
        </w:rPr>
        <w:t xml:space="preserve"> (Notice ARC 8623B,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8777C</w:t>
      </w:r>
      <w:r>
        <w:rPr>
          <w:rFonts w:ascii="Times New Roman" w:hAnsi="Times New Roman"/>
          <w:b w:val="false"/>
          <w:i w:val="false"/>
          <w:color w:val="000000"/>
          <w:sz w:val="21"/>
        </w:rPr>
        <w:t xml:space="preserve"> (Notice ARC 8324C,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72.pdf" Type="http://schemas.openxmlformats.org/officeDocument/2006/relationships/hyperlink" Id="rId5"/>
    <Relationship TargetMode="External" Target="https://www.legis.iowa.gov/docs/ico/chapter/89A.2.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ac/chapter/481.371.pdf" Type="http://schemas.openxmlformats.org/officeDocument/2006/relationships/hyperlink" Id="rId8"/>
    <Relationship TargetMode="External" Target="https://www.legis.iowa.gov/docs/iac/chapter/481.371.pdf" Type="http://schemas.openxmlformats.org/officeDocument/2006/relationships/hyperlink" Id="rId9"/>
    <Relationship TargetMode="External" Target="https://www.legis.iowa.gov/docs/iac/rule/481.372.1.pdf" Type="http://schemas.openxmlformats.org/officeDocument/2006/relationships/hyperlink" Id="rId10"/>
    <Relationship TargetMode="External" Target="https://www.legis.iowa.gov/docs/iac/rule/481.372.1.pdf" Type="http://schemas.openxmlformats.org/officeDocument/2006/relationships/hyperlink" Id="rId11"/>
    <Relationship TargetMode="External" Target="https://www.legis.iowa.gov/docs/iac/rule/481.372.1.pdf" Type="http://schemas.openxmlformats.org/officeDocument/2006/relationships/hyperlink" Id="rId12"/>
    <Relationship TargetMode="External" Target="https://www.legis.iowa.gov/docs/ico/chapter/89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