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pBdr>
          <w:bottom w:space="3"/>
        </w:pBdr>
        <w:spacing w:before="0" w:after="0"/>
        <w:ind w:left="120"/>
        <w:jc w:val="center"/>
      </w:pPr>
      <w:r>
        <w:rPr>
          <w:rFonts w:ascii="Times New Roman" w:hAnsi="Times New Roman"/>
          <w:b w:val="false"/>
          <w:i w:val="false"/>
          <w:color w:val="000000"/>
          <w:sz w:val="16"/>
        </w:rPr>
        <w:t xml:space="preserve"> </w:t>
      </w:r>
      <w:r>
        <w:rPr>
          <w:rFonts w:ascii="Times New Roman" w:hAnsi="Times New Roman"/>
          <w:b w:val="false"/>
          <w:i/>
          <w:color w:val="000000"/>
          <w:sz w:val="16"/>
        </w:rPr>
        <w:t>ELEVATOR SAFETY BOARD</w:t>
      </w:r>
      <w:r>
        <w:rPr>
          <w:rFonts w:ascii="Times New Roman" w:hAnsi="Times New Roman"/>
          <w:b w:val="false"/>
          <w:i w:val="false"/>
          <w:color w:val="000000"/>
          <w:sz w:val="16"/>
        </w:rPr>
        <w:t xml:space="preserve"> </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365</w:t>
      </w:r>
    </w:p>
    <w:p>
      <w:pPr>
        <w:spacing w:before="0" w:after="0"/>
        <w:ind w:left="120"/>
        <w:jc w:val="center"/>
      </w:pPr>
      <w:r>
        <w:rPr>
          <w:rFonts w:ascii="Times New Roman" w:hAnsi="Times New Roman"/>
          <w:b w:val="false"/>
          <w:i w:val="false"/>
          <w:color w:val="000000"/>
          <w:sz w:val="21"/>
        </w:rPr>
        <w:t>ELEVATOR SAFETY BOARD ADMINISTRATIVE AND REGULATORY AUTHORITY</w:t>
      </w:r>
    </w:p>
    <w:p>
      <w:pPr>
        <w:spacing w:before="0" w:after="0"/>
        <w:ind w:left="120"/>
        <w:jc w:val="center"/>
      </w:pPr>
      <w:r>
        <w:rPr>
          <w:rFonts w:ascii="Times New Roman" w:hAnsi="Times New Roman"/>
          <w:b w:val="false"/>
          <w:i w:val="false"/>
          <w:color w:val="000000"/>
          <w:sz w:val="14"/>
        </w:rPr>
        <w:t>[Prior to 7/9/25, see Labor Services Division[875] Ch 65]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2/12/30</w:t>
      </w:r>
    </w:p>
    <w:p>
      <w:pPr>
        <w:spacing w:before="0" w:after="0"/>
        <w:ind w:left="120"/>
        <w:jc w:val="both"/>
      </w:pPr>
      <w:r>
        <w:rPr>
          <w:rFonts w:ascii="Times New Roman" w:hAnsi="Times New Roman"/>
          <w:b/>
          <w:i w:val="false"/>
          <w:color w:val="000000"/>
          <w:sz w:val="22"/>
        </w:rPr>
        <w:t>481—365.1</w:t>
      </w:r>
      <w:r>
        <w:rPr>
          <w:rFonts w:ascii="Times New Roman" w:hAnsi="Times New Roman"/>
          <w:b/>
          <w:i w:val="false"/>
          <w:color w:val="000000"/>
          <w:sz w:val="22"/>
        </w:rPr>
        <w:t xml:space="preserve">(89A)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contained in this rule apply to 481—Chapters </w:t>
      </w:r>
      <w:hyperlink r:id="rId5">
        <w:r>
          <w:rPr>
            <w:rStyle w:val="Hyperlink"/>
            <w:rFonts w:ascii="Times New Roman" w:hAnsi="Times New Roman"/>
            <w:b w:val="false"/>
            <w:i w:val="false"/>
            <w:color w:val="000000"/>
            <w:sz w:val="22"/>
          </w:rPr>
          <w:t>365</w:t>
        </w:r>
      </w:hyperlink>
      <w:r>
        <w:rPr>
          <w:rFonts w:ascii="Times New Roman" w:hAnsi="Times New Roman"/>
          <w:b w:val="false"/>
          <w:i w:val="false"/>
          <w:color w:val="000000"/>
          <w:sz w:val="22"/>
        </w:rPr>
        <w:t xml:space="preserve"> through </w:t>
      </w:r>
      <w:hyperlink r:id="rId6">
        <w:r>
          <w:rPr>
            <w:rStyle w:val="Hyperlink"/>
            <w:rFonts w:ascii="Times New Roman" w:hAnsi="Times New Roman"/>
            <w:b w:val="false"/>
            <w:i w:val="false"/>
            <w:color w:val="000000"/>
            <w:sz w:val="22"/>
          </w:rPr>
          <w:t>373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means the elevator safety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 office”</w:t>
      </w:r>
      <w:r>
        <w:rPr>
          <w:rFonts w:ascii="Times New Roman" w:hAnsi="Times New Roman"/>
          <w:b w:val="false"/>
          <w:i w:val="false"/>
          <w:color w:val="000000"/>
          <w:sz w:val="22"/>
        </w:rPr>
        <w:t> </w:t>
      </w:r>
      <w:r>
        <w:rPr>
          <w:rFonts w:ascii="Times New Roman" w:hAnsi="Times New Roman"/>
          <w:b w:val="false"/>
          <w:i w:val="false"/>
          <w:color w:val="000000"/>
          <w:sz w:val="22"/>
        </w:rPr>
        <w:t>means the offices of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“Conveyance”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elevator, construction personnel hoist, dumbwaiter, escalator, moving walk, lift or inclined or vertical wheelchair lift subject to regulation under Iowa Code chapter </w:t>
      </w:r>
      <w:hyperlink r:id="rId7">
        <w:r>
          <w:rPr>
            <w:rStyle w:val="Hyperlink"/>
            <w:rFonts w:ascii="Times New Roman" w:hAnsi="Times New Roman"/>
            <w:b w:val="false"/>
            <w:i w:val="false"/>
            <w:color w:val="000000"/>
            <w:sz w:val="22"/>
          </w:rPr>
          <w:t>89A</w:t>
        </w:r>
      </w:hyperlink>
      <w:r>
        <w:rPr>
          <w:rFonts w:ascii="Times New Roman" w:hAnsi="Times New Roman"/>
          <w:b w:val="false"/>
          <w:i w:val="false"/>
          <w:color w:val="000000"/>
          <w:sz w:val="22"/>
        </w:rPr>
        <w:t xml:space="preserve"> and includes hoistways, rails, guides, and all other related mechanical and electrical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“Director”</w:t>
      </w:r>
      <w:r>
        <w:rPr>
          <w:rFonts w:ascii="Times New Roman" w:hAnsi="Times New Roman"/>
          <w:b w:val="false"/>
          <w:i w:val="false"/>
          <w:color w:val="000000"/>
          <w:sz w:val="22"/>
        </w:rPr>
        <w:t> </w:t>
      </w:r>
      <w:r>
        <w:rPr>
          <w:rFonts w:ascii="Times New Roman" w:hAnsi="Times New Roman"/>
          <w:b w:val="false"/>
          <w:i w:val="false"/>
          <w:color w:val="000000"/>
          <w:sz w:val="22"/>
        </w:rPr>
        <w:t>means the director of the department of inspections, appeals, and licensing or the director’s designee.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8771C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481—365.2</w:t>
      </w:r>
      <w:r>
        <w:rPr>
          <w:rFonts w:ascii="Times New Roman" w:hAnsi="Times New Roman"/>
          <w:b/>
          <w:i w:val="false"/>
          <w:color w:val="000000"/>
          <w:sz w:val="22"/>
        </w:rPr>
        <w:t xml:space="preserve">(89A) </w:t>
      </w:r>
      <w:r>
        <w:rPr>
          <w:rFonts w:ascii="Times New Roman" w:hAnsi="Times New Roman"/>
          <w:b/>
          <w:i w:val="false"/>
          <w:color w:val="000000"/>
          <w:sz w:val="22"/>
        </w:rPr>
        <w:t xml:space="preserve">Authority of the board. </w:t>
      </w:r>
      <w:r>
        <w:rPr>
          <w:rFonts w:ascii="Times New Roman" w:hAnsi="Times New Roman"/>
          <w:b w:val="false"/>
          <w:i w:val="false"/>
          <w:color w:val="000000"/>
          <w:sz w:val="22"/>
        </w:rPr>
        <w:t>The authority and responsibilities of the board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365.2(1)</w:t>
      </w:r>
      <w:r>
        <w:rPr>
          <w:rFonts w:ascii="Times New Roman" w:hAnsi="Times New Roman"/>
          <w:b w:val="false"/>
          <w:i w:val="false"/>
          <w:color w:val="000000"/>
          <w:sz w:val="22"/>
        </w:rPr>
        <w:t> </w:t>
      </w:r>
      <w:r>
        <w:rPr>
          <w:rFonts w:ascii="Times New Roman" w:hAnsi="Times New Roman"/>
          <w:b w:val="false"/>
          <w:i w:val="false"/>
          <w:color w:val="000000"/>
          <w:sz w:val="22"/>
        </w:rPr>
        <w:t>Adopting rules necessary to protect public health, safety and welfare and to administer the duties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365.2(2)</w:t>
      </w:r>
      <w:r>
        <w:rPr>
          <w:rFonts w:ascii="Times New Roman" w:hAnsi="Times New Roman"/>
          <w:b w:val="false"/>
          <w:i w:val="false"/>
          <w:color w:val="000000"/>
          <w:sz w:val="22"/>
        </w:rPr>
        <w:t> </w:t>
      </w:r>
      <w:r>
        <w:rPr>
          <w:rFonts w:ascii="Times New Roman" w:hAnsi="Times New Roman"/>
          <w:b w:val="false"/>
          <w:i w:val="false"/>
          <w:color w:val="000000"/>
          <w:sz w:val="22"/>
        </w:rPr>
        <w:t>Hearing and deciding appeals concerning inspection reports that relate to the installation, alteration, operation, and maintenance of conveyances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365.2(3)</w:t>
      </w:r>
      <w:r>
        <w:rPr>
          <w:rFonts w:ascii="Times New Roman" w:hAnsi="Times New Roman"/>
          <w:b w:val="false"/>
          <w:i w:val="false"/>
          <w:color w:val="000000"/>
          <w:sz w:val="22"/>
        </w:rPr>
        <w:t> </w:t>
      </w:r>
      <w:r>
        <w:rPr>
          <w:rFonts w:ascii="Times New Roman" w:hAnsi="Times New Roman"/>
          <w:b w:val="false"/>
          <w:i w:val="false"/>
          <w:color w:val="000000"/>
          <w:sz w:val="22"/>
        </w:rPr>
        <w:t>Hearing and deciding appeals concerning actions by the director to deny, suspend or revoke operating permits.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365.2(4)</w:t>
      </w:r>
      <w:r>
        <w:rPr>
          <w:rFonts w:ascii="Times New Roman" w:hAnsi="Times New Roman"/>
          <w:b w:val="false"/>
          <w:i w:val="false"/>
          <w:color w:val="000000"/>
          <w:sz w:val="22"/>
        </w:rPr>
        <w:t> </w:t>
      </w:r>
      <w:r>
        <w:rPr>
          <w:rFonts w:ascii="Times New Roman" w:hAnsi="Times New Roman"/>
          <w:b w:val="false"/>
          <w:i w:val="false"/>
          <w:color w:val="000000"/>
          <w:sz w:val="22"/>
        </w:rPr>
        <w:t>Establishing fees.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365.2(5)</w:t>
      </w:r>
      <w:r>
        <w:rPr>
          <w:rFonts w:ascii="Times New Roman" w:hAnsi="Times New Roman"/>
          <w:b w:val="false"/>
          <w:i w:val="false"/>
          <w:color w:val="000000"/>
          <w:sz w:val="22"/>
        </w:rPr>
        <w:t> </w:t>
      </w:r>
      <w:r>
        <w:rPr>
          <w:rFonts w:ascii="Times New Roman" w:hAnsi="Times New Roman"/>
          <w:b w:val="false"/>
          <w:i w:val="false"/>
          <w:color w:val="000000"/>
          <w:sz w:val="22"/>
        </w:rPr>
        <w:t>Establishing committees of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8771C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481—365.3</w:t>
      </w:r>
      <w:r>
        <w:rPr>
          <w:rFonts w:ascii="Times New Roman" w:hAnsi="Times New Roman"/>
          <w:b/>
          <w:i w:val="false"/>
          <w:color w:val="000000"/>
          <w:sz w:val="22"/>
        </w:rPr>
        <w:t xml:space="preserve">(21,89A) </w:t>
      </w:r>
      <w:r>
        <w:rPr>
          <w:rFonts w:ascii="Times New Roman" w:hAnsi="Times New Roman"/>
          <w:b/>
          <w:i w:val="false"/>
          <w:color w:val="000000"/>
          <w:sz w:val="22"/>
        </w:rPr>
        <w:t xml:space="preserve">Board officers. </w:t>
      </w:r>
      <w:r>
        <w:rPr>
          <w:rFonts w:ascii="Times New Roman" w:hAnsi="Times New Roman"/>
          <w:b w:val="false"/>
          <w:i w:val="false"/>
          <w:color w:val="000000"/>
          <w:sz w:val="22"/>
        </w:rPr>
        <w:t>The board shall elect a chairperson, vice chairperson, and secretary from its membership at the first meeting after July 1 of each year. Neither the director nor the director’s designee may serve as chairperson. The chairperson presides at meetings, appoints members and chairpersons of committees, and performs all duties and exercises all powers of the chairperson. The vice chairperson, in the absence or incapacity of the chairperson, performs all duties and exercises all powers of the chairperson.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8771C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481—365.4</w:t>
      </w:r>
      <w:r>
        <w:rPr>
          <w:rFonts w:ascii="Times New Roman" w:hAnsi="Times New Roman"/>
          <w:b/>
          <w:i w:val="false"/>
          <w:color w:val="000000"/>
          <w:sz w:val="22"/>
        </w:rPr>
        <w:t xml:space="preserve">(21,89A) </w:t>
      </w:r>
      <w:r>
        <w:rPr>
          <w:rFonts w:ascii="Times New Roman" w:hAnsi="Times New Roman"/>
          <w:b/>
          <w:i w:val="false"/>
          <w:color w:val="000000"/>
          <w:sz w:val="22"/>
        </w:rPr>
        <w:t xml:space="preserve">Public meetings.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365.4(1)</w:t>
      </w:r>
      <w:r>
        <w:rPr>
          <w:rFonts w:ascii="Times New Roman" w:hAnsi="Times New Roman"/>
          <w:b w:val="false"/>
          <w:i w:val="false"/>
          <w:color w:val="000000"/>
          <w:sz w:val="22"/>
        </w:rPr>
        <w:t> </w:t>
      </w:r>
      <w:r>
        <w:rPr>
          <w:rFonts w:ascii="Times New Roman" w:hAnsi="Times New Roman"/>
          <w:b w:val="false"/>
          <w:i w:val="false"/>
          <w:color w:val="000000"/>
          <w:sz w:val="22"/>
        </w:rPr>
        <w:t>The board shall hold at least one meeting each calendar quarter.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365.4(2)</w:t>
      </w:r>
      <w:r>
        <w:rPr>
          <w:rFonts w:ascii="Times New Roman" w:hAnsi="Times New Roman"/>
          <w:b w:val="false"/>
          <w:i w:val="false"/>
          <w:color w:val="000000"/>
          <w:sz w:val="22"/>
        </w:rPr>
        <w:t> </w:t>
      </w:r>
      <w:r>
        <w:rPr>
          <w:rFonts w:ascii="Times New Roman" w:hAnsi="Times New Roman"/>
          <w:b w:val="false"/>
          <w:i w:val="false"/>
          <w:color w:val="000000"/>
          <w:sz w:val="22"/>
        </w:rPr>
        <w:t xml:space="preserve">Board meetings are governed in accordance with Iowa Code chapter </w:t>
      </w:r>
      <w:hyperlink r:id="rId8">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 and conducted in accordance with Robert’s Rules of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365.4(3)</w:t>
      </w:r>
      <w:r>
        <w:rPr>
          <w:rFonts w:ascii="Times New Roman" w:hAnsi="Times New Roman"/>
          <w:b w:val="false"/>
          <w:i w:val="false"/>
          <w:color w:val="000000"/>
          <w:sz w:val="22"/>
        </w:rPr>
        <w:t> </w:t>
      </w:r>
      <w:r>
        <w:rPr>
          <w:rFonts w:ascii="Times New Roman" w:hAnsi="Times New Roman"/>
          <w:b w:val="false"/>
          <w:i w:val="false"/>
          <w:color w:val="000000"/>
          <w:sz w:val="22"/>
        </w:rPr>
        <w:t>The chairperson or the chairperson’s designee prepares the agenda listing all matters to be discussed at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365.4(4)</w:t>
      </w:r>
      <w:r>
        <w:rPr>
          <w:rFonts w:ascii="Times New Roman" w:hAnsi="Times New Roman"/>
          <w:b w:val="false"/>
          <w:i w:val="false"/>
          <w:color w:val="000000"/>
          <w:sz w:val="22"/>
        </w:rPr>
        <w:t> </w:t>
      </w:r>
      <w:r>
        <w:rPr>
          <w:rFonts w:ascii="Times New Roman" w:hAnsi="Times New Roman"/>
          <w:b w:val="false"/>
          <w:i w:val="false"/>
          <w:color w:val="000000"/>
          <w:sz w:val="22"/>
        </w:rPr>
        <w:t>A majority of the members of the board constitutes a quorum, and all final motions and actions must receive a majority of a quorum vote.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365.4(5)</w:t>
      </w:r>
      <w:r>
        <w:rPr>
          <w:rFonts w:ascii="Times New Roman" w:hAnsi="Times New Roman"/>
          <w:b w:val="false"/>
          <w:i w:val="false"/>
          <w:color w:val="000000"/>
          <w:sz w:val="22"/>
        </w:rPr>
        <w:t> </w:t>
      </w:r>
      <w:r>
        <w:rPr>
          <w:rFonts w:ascii="Times New Roman" w:hAnsi="Times New Roman"/>
          <w:b w:val="false"/>
          <w:i w:val="false"/>
          <w:color w:val="000000"/>
          <w:sz w:val="22"/>
        </w:rPr>
        <w:t xml:space="preserve">Members of the public may be present during board meetings unless the board votes to hold a closed session in accordance with Iowa Code chapter </w:t>
      </w:r>
      <w:hyperlink r:id="rId9">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The dates and locations of board meetings may be obtained from the board’s website or the board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365.4(6)</w:t>
      </w:r>
      <w:r>
        <w:rPr>
          <w:rFonts w:ascii="Times New Roman" w:hAnsi="Times New Roman"/>
          <w:b w:val="false"/>
          <w:i w:val="false"/>
          <w:color w:val="000000"/>
          <w:sz w:val="22"/>
        </w:rPr>
        <w:t> </w:t>
      </w:r>
      <w:r>
        <w:rPr>
          <w:rFonts w:ascii="Times New Roman" w:hAnsi="Times New Roman"/>
          <w:b w:val="false"/>
          <w:i w:val="false"/>
          <w:color w:val="000000"/>
          <w:sz w:val="22"/>
        </w:rPr>
        <w:t>At every regularly scheduled board meeting, time will be designated for public comment. During the public comment period, any person may speak for up to two minutes. Requests to speak for two minutes per person when a particular topic comes before the board may be granted at the discretion of the chairperson. The chairperson may limit total public comment time to ten minutes.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365.4(7)</w:t>
      </w:r>
      <w:r>
        <w:rPr>
          <w:rFonts w:ascii="Times New Roman" w:hAnsi="Times New Roman"/>
          <w:b w:val="false"/>
          <w:i w:val="false"/>
          <w:color w:val="000000"/>
          <w:sz w:val="22"/>
        </w:rPr>
        <w:t> </w:t>
      </w:r>
      <w:r>
        <w:rPr>
          <w:rFonts w:ascii="Times New Roman" w:hAnsi="Times New Roman"/>
          <w:b w:val="false"/>
          <w:i w:val="false"/>
          <w:color w:val="000000"/>
          <w:sz w:val="22"/>
        </w:rPr>
        <w:t>The person presiding at a meeting of the board may exclude a person from an open meeting for behavior that obstructs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365.4(8)</w:t>
      </w:r>
      <w:r>
        <w:rPr>
          <w:rFonts w:ascii="Times New Roman" w:hAnsi="Times New Roman"/>
          <w:b w:val="false"/>
          <w:i w:val="false"/>
          <w:color w:val="000000"/>
          <w:sz w:val="22"/>
        </w:rPr>
        <w:t> </w:t>
      </w:r>
      <w:r>
        <w:rPr>
          <w:rFonts w:ascii="Times New Roman" w:hAnsi="Times New Roman"/>
          <w:b w:val="false"/>
          <w:i w:val="false"/>
          <w:color w:val="000000"/>
          <w:sz w:val="22"/>
        </w:rPr>
        <w:t>Cameras and recording devices may be used at open meetings provided the cameras and recording devices do not obstruct the meeting. If the user of a camera or recording device obstructs the meeting by the use of such device, the person presiding at the meeting may request the user to discontinue use of the camera or device.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8771C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481—365.5</w:t>
      </w:r>
      <w:r>
        <w:rPr>
          <w:rFonts w:ascii="Times New Roman" w:hAnsi="Times New Roman"/>
          <w:b/>
          <w:i w:val="false"/>
          <w:color w:val="000000"/>
          <w:sz w:val="22"/>
        </w:rPr>
        <w:t xml:space="preserve">(17A,89A) </w:t>
      </w:r>
      <w:r>
        <w:rPr>
          <w:rFonts w:ascii="Times New Roman" w:hAnsi="Times New Roman"/>
          <w:b/>
          <w:i w:val="false"/>
          <w:color w:val="000000"/>
          <w:sz w:val="22"/>
        </w:rPr>
        <w:t xml:space="preserve">Procedures for waivers in addition to 7—Chapter 2504.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365.5(1)</w:t>
      </w:r>
      <w:r>
        <w:rPr>
          <w:rFonts w:ascii="Times New Roman" w:hAnsi="Times New Roman"/>
          <w:b w:val="false"/>
          <w:i w:val="false"/>
          <w:color w:val="000000"/>
          <w:sz w:val="22"/>
        </w:rPr>
        <w:t> </w:t>
      </w:r>
      <w:r>
        <w:rPr>
          <w:rFonts w:ascii="Times New Roman" w:hAnsi="Times New Roman"/>
          <w:b w:val="false"/>
          <w:i/>
          <w:color w:val="000000"/>
          <w:sz w:val="22"/>
        </w:rPr>
        <w:t xml:space="preserve">Filing petition. </w:t>
      </w:r>
      <w:r>
        <w:rPr>
          <w:rFonts w:ascii="Times New Roman" w:hAnsi="Times New Roman"/>
          <w:b w:val="false"/>
          <w:i w:val="false"/>
          <w:color w:val="000000"/>
          <w:sz w:val="22"/>
        </w:rPr>
        <w:t>A petition is deemed filed when it is received in the board’s office. The petition shall include the state identification number of the conveyance and the age of the conveyance. A petition should be sent to the Elevator Safety Board, Department of Inspections, Appeals, and Licensing, 6200 Park Avenue, Suite 100, Des Moines, Iowa 50321. The petitioner shall submit the petition and all related materials for consideration at least three weeks prior to a scheduled board meeting for board review of the petition at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365.5(2)</w:t>
      </w:r>
      <w:r>
        <w:rPr>
          <w:rFonts w:ascii="Times New Roman" w:hAnsi="Times New Roman"/>
          <w:b w:val="false"/>
          <w:i w:val="false"/>
          <w:color w:val="000000"/>
          <w:sz w:val="22"/>
        </w:rPr>
        <w:t> </w:t>
      </w:r>
      <w:r>
        <w:rPr>
          <w:rFonts w:ascii="Times New Roman" w:hAnsi="Times New Roman"/>
          <w:b w:val="false"/>
          <w:i/>
          <w:color w:val="000000"/>
          <w:sz w:val="22"/>
        </w:rPr>
        <w:t xml:space="preserve">Waiver form. </w:t>
      </w:r>
      <w:r>
        <w:rPr>
          <w:rFonts w:ascii="Times New Roman" w:hAnsi="Times New Roman"/>
          <w:b w:val="false"/>
          <w:i w:val="false"/>
          <w:color w:val="000000"/>
          <w:sz w:val="22"/>
        </w:rPr>
        <w:t>Waiver applicants shall use the board’s petition for waiver form. The board may request additional information from the petitioner.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365.5(3)</w:t>
      </w:r>
      <w:r>
        <w:rPr>
          <w:rFonts w:ascii="Times New Roman" w:hAnsi="Times New Roman"/>
          <w:b w:val="false"/>
          <w:i w:val="false"/>
          <w:color w:val="000000"/>
          <w:sz w:val="22"/>
        </w:rPr>
        <w:t> </w:t>
      </w:r>
      <w:r>
        <w:rPr>
          <w:rFonts w:ascii="Times New Roman" w:hAnsi="Times New Roman"/>
          <w:b w:val="false"/>
          <w:i/>
          <w:color w:val="000000"/>
          <w:sz w:val="22"/>
        </w:rPr>
        <w:t xml:space="preserve">Posting of orders granting waivers. </w:t>
      </w:r>
      <w:r>
        <w:rPr>
          <w:rFonts w:ascii="Times New Roman" w:hAnsi="Times New Roman"/>
          <w:b w:val="false"/>
          <w:i w:val="false"/>
          <w:color w:val="000000"/>
          <w:sz w:val="22"/>
        </w:rPr>
        <w:t>The order or a copy of the order granting a waiver shall be conspicuously and permanently posted in the machine room corresponding to the conveyance. The order or a copy of the order granting a waiver that relates to a conveyance that does not have a machine room shall be posted in a protective sleeve attached to the inside of the controller cabinet door corresponding to the conveyance.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365.5(4)</w:t>
      </w:r>
      <w:r>
        <w:rPr>
          <w:rFonts w:ascii="Times New Roman" w:hAnsi="Times New Roman"/>
          <w:b w:val="false"/>
          <w:i w:val="false"/>
          <w:color w:val="000000"/>
          <w:sz w:val="22"/>
        </w:rPr>
        <w:t> </w:t>
      </w:r>
      <w:r>
        <w:rPr>
          <w:rFonts w:ascii="Times New Roman" w:hAnsi="Times New Roman"/>
          <w:b w:val="false"/>
          <w:i/>
          <w:color w:val="000000"/>
          <w:sz w:val="22"/>
        </w:rPr>
        <w:t xml:space="preserve">Violations. </w:t>
      </w:r>
      <w:r>
        <w:rPr>
          <w:rFonts w:ascii="Times New Roman" w:hAnsi="Times New Roman"/>
          <w:b w:val="false"/>
          <w:i w:val="false"/>
          <w:color w:val="000000"/>
          <w:sz w:val="22"/>
        </w:rPr>
        <w:t>Violation of a condition in a waiver order will be treated as a violation of the particular rule for which the waiver was granted. As a result, the recipient of a waiver under this rule who violates a condition of the waiver may be subject to the same remedies or penalties as a person who violates the rule at issue.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0372D</w:t>
      </w:r>
      <w:r>
        <w:rPr>
          <w:rFonts w:ascii="Times New Roman" w:hAnsi="Times New Roman"/>
          <w:b w:val="false"/>
          <w:i w:val="false"/>
          <w:color w:val="000000"/>
          <w:sz w:val="16"/>
        </w:rPr>
        <w:t>, IAB 6/24/26, effective 5/29/26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481—365.6</w:t>
      </w:r>
      <w:r>
        <w:rPr>
          <w:rFonts w:ascii="Times New Roman" w:hAnsi="Times New Roman"/>
          <w:b/>
          <w:i w:val="false"/>
          <w:color w:val="000000"/>
          <w:sz w:val="22"/>
        </w:rPr>
        <w:t xml:space="preserve">(17A,89A) </w:t>
      </w:r>
      <w:r>
        <w:rPr>
          <w:rFonts w:ascii="Times New Roman" w:hAnsi="Times New Roman"/>
          <w:b/>
          <w:i w:val="false"/>
          <w:color w:val="000000"/>
          <w:sz w:val="22"/>
        </w:rPr>
        <w:t xml:space="preserve">Procedures for contested cases in addition to 7—Chapter 2506.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365.6(1)</w:t>
      </w:r>
      <w:r>
        <w:rPr>
          <w:rFonts w:ascii="Times New Roman" w:hAnsi="Times New Roman"/>
          <w:b w:val="false"/>
          <w:i w:val="false"/>
          <w:color w:val="000000"/>
          <w:sz w:val="22"/>
        </w:rPr>
        <w:t> </w:t>
      </w:r>
      <w:r>
        <w:rPr>
          <w:rFonts w:ascii="Times New Roman" w:hAnsi="Times New Roman"/>
          <w:b w:val="false"/>
          <w:i/>
          <w:color w:val="000000"/>
          <w:sz w:val="22"/>
        </w:rPr>
        <w:t xml:space="preserve">Reconsideration of inspection report. </w:t>
      </w:r>
      <w:r>
        <w:rPr>
          <w:rFonts w:ascii="Times New Roman" w:hAnsi="Times New Roman"/>
          <w:b w:val="false"/>
          <w:i w:val="false"/>
          <w:color w:val="000000"/>
          <w:sz w:val="22"/>
        </w:rPr>
        <w:t>The owner or operator of a piece of equipment subject to a written inspection report may petition the director for reconsideration of the report within 30 days of the issuance of the report. Failure to seek timely reconsideration of the inspection report is a waiver of all appeal rights. The burden of demonstrating compliance with all applicable statutory provisions, administrative rules, and codes adopted by reference rests upon the petitioning owner or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petition for reconsideration shall be in writing and must be signed by the requesting party or a representative of that party. The required form for a petition for reconsideration is available on the board’s website. A petition for reconsideration specifies: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party seeking reconsideration, including mailing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location of the equipment subject to the challenged inspection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inspection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inspector who issued the challenged inspection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specific findings or conclusions to which exception is taken;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copy of the challenged inspection report shall be attached to the petition for reconsideration. The petitioning party shall also include all relevant documents that the petitioning party desires the director to consider when evaluating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director or a designee of the director is authorized to seek additional information relating to a petition for reconsideration from the petitioning party or any other entity possessing information the director deems relevant to the petition. This subrule, however, does not impose any responsibility or duty on the director to discover documents or other information that was not submitted with the petition for reconsideration.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petition for reconsideration that is not received by the office of the director within 30 days of the issuance of the challenged inspection report is untimely and will not be considered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will not consider any request for waiver of an administrative rule made as part of a petition for reconsideration. Requests for waivers of administrative rules may only be made to the board pursuant to the provisions of </w:t>
      </w:r>
      <w:hyperlink r:id="rId10">
        <w:r>
          <w:rPr>
            <w:rStyle w:val="Hyperlink"/>
            <w:rFonts w:ascii="Times New Roman" w:hAnsi="Times New Roman"/>
            <w:b w:val="false"/>
            <w:i w:val="false"/>
            <w:color w:val="000000"/>
            <w:sz w:val="22"/>
          </w:rPr>
          <w:t>481—Chapter 365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 ruling on a petition for reconsideration, the director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Affirm the inspection report as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Issue an amended inspection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Rescind the inspection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Deny the petition as untimely.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Any petition for reconsideration that is not ruled upon by the director within 20 days of receipt by the office of the director shall be deemed denied and the challenged inspection report affirmed as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365.6(2)</w:t>
      </w:r>
      <w:r>
        <w:rPr>
          <w:rFonts w:ascii="Times New Roman" w:hAnsi="Times New Roman"/>
          <w:b w:val="false"/>
          <w:i w:val="false"/>
          <w:color w:val="000000"/>
          <w:sz w:val="22"/>
        </w:rPr>
        <w:t> </w:t>
      </w:r>
      <w:r>
        <w:rPr>
          <w:rFonts w:ascii="Times New Roman" w:hAnsi="Times New Roman"/>
          <w:b w:val="false"/>
          <w:i/>
          <w:color w:val="000000"/>
          <w:sz w:val="22"/>
        </w:rPr>
        <w:t xml:space="preserve">Appeal to the board. </w:t>
      </w:r>
      <w:r>
        <w:rPr>
          <w:rFonts w:ascii="Times New Roman" w:hAnsi="Times New Roman"/>
          <w:b w:val="false"/>
          <w:i w:val="false"/>
          <w:color w:val="000000"/>
          <w:sz w:val="22"/>
        </w:rPr>
        <w:t xml:space="preserve">The director’s ruling on a petition for reconsideration or the director’s deemed denial of a petition for reconsideration may be appealed to the board. An appeal must be filed in writing with the board within 30 calendar days of the earlier of either the issuance of the director’s written ruling on a petition for reconsideration or the director’s deemed denial of a petition for reconsideration. At a minimum, an appeal includes a short and concise statement of the basis for the appeal. The required form for an appeal is available on the board’s website. Consideration of an appeal of a ruling on a petition for reconsideration is a contested case proceeding subject to the provisions of Iowa Code chapter </w:t>
      </w:r>
      <w:hyperlink r:id="rId1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The director has an automatic right of intervention in any appeal of the ruling on petition for reconsideration and may defend the ruling in a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365.6(3)</w:t>
      </w:r>
      <w:r>
        <w:rPr>
          <w:rFonts w:ascii="Times New Roman" w:hAnsi="Times New Roman"/>
          <w:b w:val="false"/>
          <w:i w:val="false"/>
          <w:color w:val="000000"/>
          <w:sz w:val="22"/>
        </w:rPr>
        <w:t> </w:t>
      </w:r>
      <w:r>
        <w:rPr>
          <w:rFonts w:ascii="Times New Roman" w:hAnsi="Times New Roman"/>
          <w:b w:val="false"/>
          <w:i/>
          <w:color w:val="000000"/>
          <w:sz w:val="22"/>
        </w:rPr>
        <w:t xml:space="preserve">Informal review.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order to preserve the ability of board members to participate in decision-making, a party who elects an informal review under this rule waives the party’s right to seek disqualification of a board member as a presiding officer in a later contested case proceeding based on the board member’s participation in the informal review. Parties would not be waiving their right to seek disqualification on any other ground.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 may propose a preliminary order at the time of informal review. If a party does not consent to the preliminary order, the party must submit a request to proceed with formal contested case proceedings, including hearing, within ten days of the informal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File transmitted to the board. Upon receipt of a notice of hearing issued by the board, the director shall within 30 days forward to the board and all parties of record to the appeal copies of the challenged inspection report, the appellant’s petition for reconsideration and all supporting documents, all other documents collected by the director in ruling on the petition for reconsideration, and the director’s ruling on the petition for reconsideration.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365.6(4)</w:t>
      </w: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presiding officer in all contested cases is the board, a panel of board members, or an administrative law judge assigned by the department of inspections, appeals, and licensing. When board members act as presiding officer, the board members shall conduct the hearing and issue either a final decision or, if a quorum of the board is not present, a proposed decision. The board may be assisted by an administrative law judge when the board acts as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 or a panel of board members when acting as presiding officer may request that an administrative law judge perform certain functions as an aid to the board or board panel, such as ruling on prehearing motions, conducting the prehearing conference, ruling on evidentiary objections at hearing, assisting in deliberations, or drafting the written decision for review by the board or board panel.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rulings by an administrative law judge who acts either as presiding officer or assistant to the board are subject to appeal to the board. A party must timely seek intra-agency appeal of prehearing rulings or proposed decisions in order to exhaust adequate administrative remedies. While a party may seek immediate board or board panel review of rulings made by an administrative law judge when sitting with and acting as an aid to the board or board panel during a hearing, such immediate review is not required to preserve error for judicial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Unless otherwise provided by law, when reviewing a proposed decision of a panel of the board or an administrative law judge, board members have the powers of and shall comply with the provisions of this chapter that apply to presiding officers.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365.6(5)</w:t>
      </w:r>
      <w:r>
        <w:rPr>
          <w:rFonts w:ascii="Times New Roman" w:hAnsi="Times New Roman"/>
          <w:b w:val="false"/>
          <w:i w:val="false"/>
          <w:color w:val="000000"/>
          <w:sz w:val="22"/>
        </w:rPr>
        <w:t> </w:t>
      </w:r>
      <w:r>
        <w:rPr>
          <w:rFonts w:ascii="Times New Roman" w:hAnsi="Times New Roman"/>
          <w:b w:val="false"/>
          <w:i/>
          <w:color w:val="000000"/>
          <w:sz w:val="22"/>
        </w:rPr>
        <w:t xml:space="preserve">Subpoenas in a contested case.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request for a subpoena shall include the following information,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person requesting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will be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at which the person shall be commanded to attend and give testimony;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Whether the testimony is requested in connection with a deposition 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description of the books, papers, records, or other evidence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for production or inspection and copying.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subpoena shall contain,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caption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person who requested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is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at which the person is commanded to appear;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Whether the testimony is commanded in connection with a deposition 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description of the books, papers, records, or other evidence the person is commanded to produce;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for production or inspection and copying;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time within which a motion to quash or modify the subpoena must be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signature, address, and telephone number of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 return of service attached to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person who is aggrieved or adversely affected by compliance with the subpoena or any party to the contested case who desires to challenge the subpoena must, within 14 days after service of the subpoena, or before the time specified for compliance if such time is less than 14 days, file with the board a motion to quash or modify the subpoena. The motion shall describe the legal reasons why the subpoena should be quashed or modified and may be accompanied by legal briefs or factual affidavits.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Upon receipt of a timely motion to quash or modify a subpoena, the board chairperson shall request an administrative law judge to hold a hearing and issue a decision. Oral argument may be scheduled at the discretion of the board or the administrative law judge. The administrative law judge may quash or modify the subpoena or deny the motion.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person aggrieved by a ruling of an administrative law judge who desires to challenge that ruling must appeal the ruling to the board by serving on the board, either in person or by certified mail, a notice of appeal within ten days after service of the decision of the administrative law judge. If the decision of the administrative law judge to quash or modify the subpoena or to deny the motion to quash or modify the subpoena is appealed to the board, the board may uphold or overturn the decision of the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person contesting the subpoena is not the party whose appeal is the subject of the contested case, the board’s decision is final for purposes of judicial review. If the person contesting the subpoena is the party whose appeal is the subject of the contested case, the board’s decision is not final for purposes of judicial review until there is a final decision in the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365.6(6)</w:t>
      </w:r>
      <w:r>
        <w:rPr>
          <w:rFonts w:ascii="Times New Roman" w:hAnsi="Times New Roman"/>
          <w:b w:val="false"/>
          <w:i w:val="false"/>
          <w:color w:val="000000"/>
          <w:sz w:val="22"/>
        </w:rPr>
        <w:t> </w:t>
      </w:r>
      <w:r>
        <w:rPr>
          <w:rFonts w:ascii="Times New Roman" w:hAnsi="Times New Roman"/>
          <w:b w:val="false"/>
          <w:i/>
          <w:color w:val="000000"/>
          <w:sz w:val="22"/>
        </w:rPr>
        <w:t xml:space="preserve">Decisions.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Proposed decision. </w:t>
      </w:r>
      <w:r>
        <w:rPr>
          <w:rFonts w:ascii="Times New Roman" w:hAnsi="Times New Roman"/>
          <w:b w:val="false"/>
          <w:i w:val="false"/>
          <w:color w:val="000000"/>
          <w:sz w:val="22"/>
        </w:rPr>
        <w:t>Decisions issued by a panel of less than a quorum of the board or by an administrative law judge are proposed decisions. A proposed decision issued by a panel of the board or an administrative law judge becomes a final decision if not timely appealed by any party or reviewed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Final decision. </w:t>
      </w:r>
      <w:r>
        <w:rPr>
          <w:rFonts w:ascii="Times New Roman" w:hAnsi="Times New Roman"/>
          <w:b w:val="false"/>
          <w:i w:val="false"/>
          <w:color w:val="000000"/>
          <w:sz w:val="22"/>
        </w:rPr>
        <w:t>When a quorum of the board presides over the reception of evidence at the hearing, the decision is a final decision. A copy of the final decision and order shall immediately be sent by certified mail to the appellant’s last-known post office address or may be served as in the manner of original notices. Copies shall be mailed by interoffice mail or first-class mail to the counsel of record.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0372D</w:t>
      </w:r>
      <w:r>
        <w:rPr>
          <w:rFonts w:ascii="Times New Roman" w:hAnsi="Times New Roman"/>
          <w:b w:val="false"/>
          <w:i w:val="false"/>
          <w:color w:val="000000"/>
          <w:sz w:val="16"/>
        </w:rPr>
        <w:t>, IAB 6/24/26, effective 5/29/26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481—365.7</w:t>
      </w:r>
      <w:r>
        <w:rPr>
          <w:rFonts w:ascii="Times New Roman" w:hAnsi="Times New Roman"/>
          <w:b/>
          <w:i w:val="false"/>
          <w:color w:val="000000"/>
          <w:sz w:val="22"/>
        </w:rPr>
        <w:t xml:space="preserve">(89A) </w:t>
      </w:r>
      <w:r>
        <w:rPr>
          <w:rFonts w:ascii="Times New Roman" w:hAnsi="Times New Roman"/>
          <w:b/>
          <w:i w:val="false"/>
          <w:color w:val="000000"/>
          <w:sz w:val="22"/>
        </w:rPr>
        <w:t xml:space="preserve">Official communications. </w:t>
      </w:r>
      <w:r>
        <w:rPr>
          <w:rFonts w:ascii="Times New Roman" w:hAnsi="Times New Roman"/>
          <w:b w:val="false"/>
          <w:i w:val="false"/>
          <w:color w:val="000000"/>
          <w:sz w:val="22"/>
        </w:rPr>
        <w:t>All official communications, including submissions and requests, are to be addressed to the Elevator Safety Board, Department of Inspections, Appeals, and Licensing, 6200 Park Avenue, Suite 100, Des Moines, Iowa 50321.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8771C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 xml:space="preserve">; </w:t>
      </w:r>
      <w:r>
        <w:rPr>
          <w:rFonts w:ascii="Times New Roman" w:hAnsi="Times New Roman"/>
          <w:b/>
          <w:i w:val="false"/>
          <w:color w:val="000000"/>
          <w:sz w:val="16"/>
        </w:rPr>
        <w:t>ARC 0372D</w:t>
      </w:r>
      <w:r>
        <w:rPr>
          <w:rFonts w:ascii="Times New Roman" w:hAnsi="Times New Roman"/>
          <w:b w:val="false"/>
          <w:i w:val="false"/>
          <w:color w:val="000000"/>
          <w:sz w:val="16"/>
        </w:rPr>
        <w:t>, IAB 6/24/26, effective 5/29/26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12">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89A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6/16/06, Notice 5/10/06—published 7/5/06, effective 8/9/06]</w:t>
      </w:r>
    </w:p>
    <w:p>
      <w:pPr>
        <w:spacing w:before="0" w:after="0"/>
        <w:ind w:left="120"/>
        <w:jc w:val="center"/>
      </w:pPr>
      <w:r>
        <w:rPr>
          <w:rFonts w:ascii="Times New Roman" w:hAnsi="Times New Roman"/>
          <w:b w:val="false"/>
          <w:i w:val="false"/>
          <w:color w:val="000000"/>
          <w:sz w:val="21"/>
        </w:rPr>
        <w:t>[Filed ARC 8621B</w:t>
      </w:r>
      <w:r>
        <w:rPr>
          <w:rFonts w:ascii="Times New Roman" w:hAnsi="Times New Roman"/>
          <w:b w:val="false"/>
          <w:i w:val="false"/>
          <w:color w:val="000000"/>
          <w:sz w:val="21"/>
        </w:rPr>
        <w:t xml:space="preserve"> (Notice ARC 8322B, IAB 12/2/09)</w:t>
      </w:r>
      <w:r>
        <w:rPr>
          <w:rFonts w:ascii="Times New Roman" w:hAnsi="Times New Roman"/>
          <w:b w:val="false"/>
          <w:i w:val="false"/>
          <w:color w:val="000000"/>
          <w:sz w:val="21"/>
        </w:rPr>
        <w:t>, IAB 3/24/10, effective 4/28/10]</w:t>
      </w:r>
    </w:p>
    <w:p>
      <w:pPr>
        <w:spacing w:before="0" w:after="0"/>
        <w:ind w:left="120"/>
        <w:jc w:val="center"/>
      </w:pPr>
      <w:r>
        <w:rPr>
          <w:rFonts w:ascii="Times New Roman" w:hAnsi="Times New Roman"/>
          <w:b w:val="false"/>
          <w:i w:val="false"/>
          <w:color w:val="000000"/>
          <w:sz w:val="21"/>
        </w:rPr>
        <w:t>[Filed ARC 5570C</w:t>
      </w:r>
      <w:r>
        <w:rPr>
          <w:rFonts w:ascii="Times New Roman" w:hAnsi="Times New Roman"/>
          <w:b w:val="false"/>
          <w:i w:val="false"/>
          <w:color w:val="000000"/>
          <w:sz w:val="21"/>
        </w:rPr>
        <w:t xml:space="preserve"> (Notice ARC 5436C, IAB 2/10/21)</w:t>
      </w:r>
      <w:r>
        <w:rPr>
          <w:rFonts w:ascii="Times New Roman" w:hAnsi="Times New Roman"/>
          <w:b w:val="false"/>
          <w:i w:val="false"/>
          <w:color w:val="000000"/>
          <w:sz w:val="21"/>
        </w:rPr>
        <w:t>, IAB 4/21/21, effective 6/1/21]</w:t>
      </w:r>
    </w:p>
    <w:p>
      <w:pPr>
        <w:spacing w:before="0" w:after="0"/>
        <w:ind w:left="120"/>
        <w:jc w:val="center"/>
      </w:pPr>
      <w:r>
        <w:rPr>
          <w:rFonts w:ascii="Times New Roman" w:hAnsi="Times New Roman"/>
          <w:b w:val="false"/>
          <w:i w:val="false"/>
          <w:color w:val="000000"/>
          <w:sz w:val="21"/>
        </w:rPr>
        <w:t>[Filed ARC 8771C</w:t>
      </w:r>
      <w:r>
        <w:rPr>
          <w:rFonts w:ascii="Times New Roman" w:hAnsi="Times New Roman"/>
          <w:b w:val="false"/>
          <w:i w:val="false"/>
          <w:color w:val="000000"/>
          <w:sz w:val="21"/>
        </w:rPr>
        <w:t xml:space="preserve"> (Notice ARC 8319C, IAB 10/30/24)</w:t>
      </w:r>
      <w:r>
        <w:rPr>
          <w:rFonts w:ascii="Times New Roman" w:hAnsi="Times New Roman"/>
          <w:b w:val="false"/>
          <w:i w:val="false"/>
          <w:color w:val="000000"/>
          <w:sz w:val="21"/>
        </w:rPr>
        <w:t>, IAB 1/8/25, effective 2/12/25]</w:t>
      </w:r>
    </w:p>
    <w:p>
      <w:pPr>
        <w:spacing w:before="0" w:after="0"/>
        <w:ind w:left="120"/>
        <w:jc w:val="center"/>
      </w:pPr>
      <w:r>
        <w:rPr>
          <w:rFonts w:ascii="Times New Roman" w:hAnsi="Times New Roman"/>
          <w:b w:val="false"/>
          <w:i w:val="false"/>
          <w:color w:val="000000"/>
          <w:sz w:val="21"/>
        </w:rPr>
        <w:t>[Editorial change: IAC Supplement 7/9/25]</w:t>
      </w:r>
    </w:p>
    <w:p>
      <w:pPr>
        <w:spacing w:before="0" w:after="0"/>
        <w:ind w:left="120"/>
        <w:jc w:val="center"/>
      </w:pPr>
      <w:r>
        <w:rPr>
          <w:rFonts w:ascii="Times New Roman" w:hAnsi="Times New Roman"/>
          <w:b w:val="false"/>
          <w:i w:val="false"/>
          <w:color w:val="000000"/>
          <w:sz w:val="21"/>
        </w:rPr>
        <w:t>[Editorial change: IAC Supplement 11/26/25]</w:t>
      </w:r>
    </w:p>
    <w:p>
      <w:pPr>
        <w:spacing w:before="0" w:after="0"/>
        <w:ind w:left="120"/>
        <w:jc w:val="center"/>
      </w:pPr>
      <w:r>
        <w:rPr>
          <w:rFonts w:ascii="Times New Roman" w:hAnsi="Times New Roman"/>
          <w:b w:val="false"/>
          <w:i w:val="false"/>
          <w:color w:val="000000"/>
          <w:sz w:val="21"/>
        </w:rPr>
        <w:t>[Filed Emergency ARC 0372D, IAB 6/24/26, effective 5/29/26]</w:t>
      </w:r>
    </w:p>
    <w:sectPr>
      <w:footerReference r:id="rId1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365.pdf" Type="http://schemas.openxmlformats.org/officeDocument/2006/relationships/hyperlink" Id="rId5"/>
    <Relationship TargetMode="External" Target="https://www.legis.iowa.gov/docs/iac/chapter/481.373.pdf" Type="http://schemas.openxmlformats.org/officeDocument/2006/relationships/hyperlink" Id="rId6"/>
    <Relationship TargetMode="External" Target="https://www.legis.iowa.gov/docs/ico/chapter/89A.pdf" Type="http://schemas.openxmlformats.org/officeDocument/2006/relationships/hyperlink" Id="rId7"/>
    <Relationship TargetMode="External" Target="https://www.legis.iowa.gov/docs/ico/chapter/21.pdf" Type="http://schemas.openxmlformats.org/officeDocument/2006/relationships/hyperlink" Id="rId8"/>
    <Relationship TargetMode="External" Target="https://www.legis.iowa.gov/docs/ico/chapter/21.pdf" Type="http://schemas.openxmlformats.org/officeDocument/2006/relationships/hyperlink" Id="rId9"/>
    <Relationship TargetMode="External" Target="https://www.legis.iowa.gov/docs/iac/chapter/481.365.pdf" Type="http://schemas.openxmlformats.org/officeDocument/2006/relationships/hyperlink" Id="rId10"/>
    <Relationship TargetMode="External" Target="https://www.legis.iowa.gov/docs/ico/chapter/17A.pdf" Type="http://schemas.openxmlformats.org/officeDocument/2006/relationships/hyperlink" Id="rId11"/>
    <Relationship TargetMode="External" Target="https://www.legis.iowa.gov/docs/ico/chapter/21.pdf" Type="http://schemas.openxmlformats.org/officeDocument/2006/relationships/hyperlink" Id="rId12"/>
    <Relationship TargetMode="External" Target="https://www.legis.iowa.gov/docs/ico/chapter/89A.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