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324</w:t>
      </w:r>
    </w:p>
    <w:p>
      <w:pPr>
        <w:spacing w:before="0" w:after="0"/>
        <w:ind w:left="120"/>
        <w:jc w:val="center"/>
      </w:pPr>
      <w:r>
        <w:rPr>
          <w:rFonts w:ascii="Times New Roman" w:hAnsi="Times New Roman"/>
          <w:b w:val="false"/>
          <w:i w:val="false"/>
          <w:color w:val="000000"/>
          <w:sz w:val="21"/>
        </w:rPr>
        <w:t>MANUFACTURED OR MOBILE HOME RETAILERS,</w:t>
      </w:r>
      <w:r>
        <w:br/>
      </w:r>
      <w:r>
        <w:rPr>
          <w:rFonts w:ascii="Times New Roman" w:hAnsi="Times New Roman"/>
          <w:b w:val="false"/>
          <w:i w:val="false"/>
          <w:color w:val="000000"/>
          <w:sz w:val="21"/>
        </w:rPr>
        <w:t>MANUFACTURERS, AND DISTRIBUTORS</w:t>
      </w:r>
    </w:p>
    <w:p>
      <w:pPr>
        <w:spacing w:before="0" w:after="0"/>
        <w:ind w:left="120"/>
        <w:jc w:val="center"/>
      </w:pPr>
      <w:r>
        <w:rPr>
          <w:rFonts w:ascii="Times New Roman" w:hAnsi="Times New Roman"/>
          <w:b w:val="false"/>
          <w:i w:val="false"/>
          <w:color w:val="000000"/>
          <w:sz w:val="20"/>
        </w:rPr>
        <w:t>[Prior to 11/26/25, see Public Safety Department[661] Ch 372]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481—324.1</w:t>
      </w:r>
      <w:r>
        <w:rPr>
          <w:rFonts w:ascii="Times New Roman" w:hAnsi="Times New Roman"/>
          <w:b/>
          <w:i w:val="false"/>
          <w:color w:val="000000"/>
          <w:sz w:val="22"/>
        </w:rPr>
        <w:t xml:space="preserve">(103A)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 section 1, are made part of this chapter. In addition, the following words and phrases when used in this chapter shall have these meanings respectively ascribed to them, except when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“Bureau”</w:t>
      </w:r>
      <w:r>
        <w:rPr>
          <w:rFonts w:ascii="Times New Roman" w:hAnsi="Times New Roman"/>
          <w:b w:val="false"/>
          <w:i w:val="false"/>
          <w:color w:val="000000"/>
          <w:sz w:val="22"/>
        </w:rPr>
        <w:t> </w:t>
      </w:r>
      <w:r>
        <w:rPr>
          <w:rFonts w:ascii="Times New Roman" w:hAnsi="Times New Roman"/>
          <w:b w:val="false"/>
          <w:i w:val="false"/>
          <w:color w:val="000000"/>
          <w:sz w:val="22"/>
        </w:rPr>
        <w:t>means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title”</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by the appropriate official which contains a statement of the owner’s title, the name and address of the owner, a description of the vehicle, a statement of all security interests and additional information required under the laws or rules of the jurisdiction in which the document was issued, and which is recognized as a matter of law as a document evidencing ownership of the vehicle described. The terms “title certificate,” “title only,” and “title” are synonymous with the term “certificate of title.”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“Commissioner”</w:t>
      </w:r>
      <w:r>
        <w:rPr>
          <w:rFonts w:ascii="Times New Roman" w:hAnsi="Times New Roman"/>
          <w:b w:val="false"/>
          <w:i w:val="false"/>
          <w:color w:val="000000"/>
          <w:sz w:val="22"/>
        </w:rPr>
        <w:t> </w:t>
      </w:r>
      <w:r>
        <w:rPr>
          <w:rFonts w:ascii="Times New Roman" w:hAnsi="Times New Roman"/>
          <w:b w:val="false"/>
          <w:i w:val="false"/>
          <w:color w:val="000000"/>
          <w:sz w:val="22"/>
        </w:rPr>
        <w:t>means the building code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“Manufacturer’s certificate of origin”</w:t>
      </w:r>
      <w:r>
        <w:rPr>
          <w:rFonts w:ascii="Times New Roman" w:hAnsi="Times New Roman"/>
          <w:b w:val="false"/>
          <w:i w:val="false"/>
          <w:color w:val="000000"/>
          <w:sz w:val="22"/>
        </w:rPr>
        <w:t> </w:t>
      </w:r>
      <w:r>
        <w:rPr>
          <w:rFonts w:ascii="Times New Roman" w:hAnsi="Times New Roman"/>
          <w:b w:val="false"/>
          <w:i w:val="false"/>
          <w:color w:val="000000"/>
          <w:sz w:val="22"/>
        </w:rPr>
        <w:t>means a certification signed by the manufacturer or importer that the manufactured or mobile home described has been transferred to the person or retailer named and that the transfer is the first transfer of the manufactured or mobile home in ordinary trade and commerce. The description shall include the make, model year, vehicle identification number, and other information which may be required by statute or rule. The terms “manufacturer’s statement,” “importer’s statement or certificate,” “MSO” and “MCO” are synonymous with the term “manufacturer’s certificate of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“Model year”</w:t>
      </w:r>
      <w:r>
        <w:rPr>
          <w:rFonts w:ascii="Times New Roman" w:hAnsi="Times New Roman"/>
          <w:b w:val="false"/>
          <w:i w:val="false"/>
          <w:color w:val="000000"/>
          <w:sz w:val="22"/>
        </w:rPr>
        <w:t> </w:t>
      </w:r>
      <w:r>
        <w:rPr>
          <w:rFonts w:ascii="Times New Roman" w:hAnsi="Times New Roman"/>
          <w:b w:val="false"/>
          <w:i w:val="false"/>
          <w:color w:val="000000"/>
          <w:sz w:val="22"/>
        </w:rPr>
        <w:t>means the year of original manufacture or the year certified by the manufacturer.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481—324.2</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retailer’s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324.2(1)</w:t>
      </w:r>
      <w:r>
        <w:rPr>
          <w:rFonts w:ascii="Times New Roman" w:hAnsi="Times New Roman"/>
          <w:b w:val="false"/>
          <w:i w:val="false"/>
          <w:color w:val="000000"/>
          <w:sz w:val="22"/>
        </w:rPr>
        <w:t> </w:t>
      </w:r>
      <w:r>
        <w:rPr>
          <w:rFonts w:ascii="Times New Roman" w:hAnsi="Times New Roman"/>
          <w:b w:val="false"/>
          <w:i/>
          <w:color w:val="000000"/>
          <w:sz w:val="22"/>
        </w:rPr>
        <w:t xml:space="preserve">Licensing information. </w:t>
      </w:r>
      <w:r>
        <w:rPr>
          <w:rFonts w:ascii="Times New Roman" w:hAnsi="Times New Roman"/>
          <w:b w:val="false"/>
          <w:i w:val="false"/>
          <w:color w:val="000000"/>
          <w:sz w:val="22"/>
        </w:rPr>
        <w:t>Information concerning license requirements may be obtained from the Building Code Bureau, Fire Marshal Division, Iowa Department of Public Safety, State Public Safety Headquarters Building, 215 East 7th Street,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retailer shall file a completed application form at least 30 days prior to the expiration of a current license or, if the application is for an initial license, 30 days prior to the date on which the retailer anticipates doing business. A retailer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324.2(3)</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the license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retailer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324.2(5)</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 xml:space="preserve">The applicant shall obtain a surety bond in the amount of $50,000. The original bond shall be filed with the department. The bond shall provide for a 30-day notice to the bureau, prior to cancellation. The bureau shall notify the bonding company of any violations of Iowa Code chapter </w:t>
      </w:r>
      <w:hyperlink r:id="rId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or these rules by the license holder. The bureau shall notify the retailer by mail or personal service that the retailer’s license shall be revoked the same date the bond is canceled unless the bond is reinstated or a new bond is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324.2(6)</w:t>
      </w:r>
      <w:r>
        <w:rPr>
          <w:rFonts w:ascii="Times New Roman" w:hAnsi="Times New Roman"/>
          <w:b w:val="false"/>
          <w:i w:val="false"/>
          <w:color w:val="000000"/>
          <w:sz w:val="22"/>
        </w:rPr>
        <w:t> </w:t>
      </w:r>
      <w:r>
        <w:rPr>
          <w:rFonts w:ascii="Times New Roman" w:hAnsi="Times New Roman"/>
          <w:b w:val="false"/>
          <w:i/>
          <w:color w:val="000000"/>
          <w:sz w:val="22"/>
        </w:rPr>
        <w:t xml:space="preserve">Place of business. </w:t>
      </w:r>
      <w:r>
        <w:rPr>
          <w:rFonts w:ascii="Times New Roman" w:hAnsi="Times New Roman"/>
          <w:b w:val="false"/>
          <w:i w:val="false"/>
          <w:color w:val="000000"/>
          <w:sz w:val="22"/>
        </w:rPr>
        <w:t>The applicant shall maintain a place of business at a designated location. A manufactured or mobile home may be used as an office if the home’s taxes are current. The place of business shall include telephone service and an office area in which are kept the business records, manufacturer’s certificates of origin, certificates of title or other evidence of ownership of each manufactured or mobile home offered for sale.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324.2(7)</w:t>
      </w:r>
      <w:r>
        <w:rPr>
          <w:rFonts w:ascii="Times New Roman" w:hAnsi="Times New Roman"/>
          <w:b w:val="false"/>
          <w:i w:val="false"/>
          <w:color w:val="000000"/>
          <w:sz w:val="22"/>
        </w:rPr>
        <w:t> </w:t>
      </w:r>
      <w:r>
        <w:rPr>
          <w:rFonts w:ascii="Times New Roman" w:hAnsi="Times New Roman"/>
          <w:b w:val="false"/>
          <w:i/>
          <w:color w:val="000000"/>
          <w:sz w:val="22"/>
        </w:rPr>
        <w:t xml:space="preserve">Separate place of business. </w:t>
      </w:r>
      <w:r>
        <w:rPr>
          <w:rFonts w:ascii="Times New Roman" w:hAnsi="Times New Roman"/>
          <w:b w:val="false"/>
          <w:i w:val="false"/>
          <w:color w:val="000000"/>
          <w:sz w:val="22"/>
        </w:rPr>
        <w:t>A separate retailer’s license shall be obtained for each county in which the applicant maintains a place of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481—324.3</w:t>
      </w:r>
      <w:r>
        <w:rPr>
          <w:rFonts w:ascii="Times New Roman" w:hAnsi="Times New Roman"/>
          <w:b/>
          <w:i w:val="false"/>
          <w:color w:val="000000"/>
          <w:sz w:val="22"/>
        </w:rPr>
        <w:t xml:space="preserve">(103A) </w:t>
      </w:r>
      <w:r>
        <w:rPr>
          <w:rFonts w:ascii="Times New Roman" w:hAnsi="Times New Roman"/>
          <w:b/>
          <w:i w:val="false"/>
          <w:color w:val="000000"/>
          <w:sz w:val="22"/>
        </w:rPr>
        <w:t xml:space="preserve">Operation under distinct name. </w:t>
      </w:r>
      <w:r>
        <w:rPr>
          <w:rFonts w:ascii="Times New Roman" w:hAnsi="Times New Roman"/>
          <w:b w:val="false"/>
          <w:i w:val="false"/>
          <w:color w:val="000000"/>
          <w:sz w:val="22"/>
        </w:rPr>
        <w:t>A manufactured or mobile home retailer shall not represent or advertise the business under any name other than the name that appears on the retailer’s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481—324.4</w:t>
      </w:r>
      <w:r>
        <w:rPr>
          <w:rFonts w:ascii="Times New Roman" w:hAnsi="Times New Roman"/>
          <w:b/>
          <w:i w:val="false"/>
          <w:color w:val="000000"/>
          <w:sz w:val="22"/>
        </w:rPr>
        <w:t xml:space="preserve">(103A) </w:t>
      </w:r>
      <w:r>
        <w:rPr>
          <w:rFonts w:ascii="Times New Roman" w:hAnsi="Times New Roman"/>
          <w:b/>
          <w:i w:val="false"/>
          <w:color w:val="000000"/>
          <w:sz w:val="22"/>
        </w:rPr>
        <w:t xml:space="preserve">Supplemental statements. </w:t>
      </w:r>
      <w:r>
        <w:rPr>
          <w:rFonts w:ascii="Times New Roman" w:hAnsi="Times New Roman"/>
          <w:b w:val="false"/>
          <w:i w:val="false"/>
          <w:color w:val="000000"/>
          <w:sz w:val="22"/>
        </w:rPr>
        <w:t>A manufactured or mobile home retailer shall file with the commissioner a written statement upon change of name or change of location of the retailer’s place of business. The written statement shall be filed within ten days of the change with a fee of $100 in payment for a new license reflecting the change.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481—324.5</w:t>
      </w:r>
      <w:r>
        <w:rPr>
          <w:rFonts w:ascii="Times New Roman" w:hAnsi="Times New Roman"/>
          <w:b/>
          <w:i w:val="false"/>
          <w:color w:val="000000"/>
          <w:sz w:val="22"/>
        </w:rPr>
        <w:t xml:space="preserve">(103A) </w:t>
      </w:r>
      <w:r>
        <w:rPr>
          <w:rFonts w:ascii="Times New Roman" w:hAnsi="Times New Roman"/>
          <w:b/>
          <w:i w:val="false"/>
          <w:color w:val="000000"/>
          <w:sz w:val="22"/>
        </w:rPr>
        <w:t xml:space="preserve">Denial, suspension, or revocation—civil penalties.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324.5(1)</w:t>
      </w:r>
      <w:r>
        <w:rPr>
          <w:rFonts w:ascii="Times New Roman" w:hAnsi="Times New Roman"/>
          <w:b w:val="false"/>
          <w:i w:val="false"/>
          <w:color w:val="000000"/>
          <w:sz w:val="22"/>
        </w:rPr>
        <w:t> </w:t>
      </w:r>
      <w:r>
        <w:rPr>
          <w:rFonts w:ascii="Times New Roman" w:hAnsi="Times New Roman"/>
          <w:b w:val="false"/>
          <w:i w:val="false"/>
          <w:color w:val="000000"/>
          <w:sz w:val="22"/>
        </w:rPr>
        <w:t>The commissioner may deny the issuance or renewal of a license if the applicant has committed any violation of any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324.5(2)</w:t>
      </w:r>
      <w:r>
        <w:rPr>
          <w:rFonts w:ascii="Times New Roman" w:hAnsi="Times New Roman"/>
          <w:b w:val="false"/>
          <w:i w:val="false"/>
          <w:color w:val="000000"/>
          <w:sz w:val="22"/>
        </w:rPr>
        <w:t> </w:t>
      </w:r>
      <w:r>
        <w:rPr>
          <w:rFonts w:ascii="Times New Roman" w:hAnsi="Times New Roman"/>
          <w:b w:val="false"/>
          <w:i w:val="false"/>
          <w:color w:val="000000"/>
          <w:sz w:val="22"/>
        </w:rPr>
        <w:t>The commissioner may suspend or revoke a license for any violation of this chapter or of any other provision of law applicable to the operation of a business required to be licensed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324.5(3)</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commissioner may impose a civil penalty for any violation of this chapter or of Iowa Code chapter </w:t>
      </w:r>
      <w:hyperlink r:id="rId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relating to the manufacture of a manufactured or mobile home. A civil penalty may be imposed in addition to a denial of the issuance or renewal of a license, a suspension of a license, or a revocation of a license. A civil penalty shall not be imposed in lieu of a denial of the issuance or renewal of a license or of a revocation of a license. A civil penalty shall not exceed $1,000 for each offense. Each violation involving a separate manufactured or mobile home, or a separate failure or refusal to allow an act to be performed or to perform an act as required by this chapter or Iowa Code chapter </w:t>
      </w:r>
      <w:hyperlink r:id="rId7">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constitutes a separate offense. However, the maximum amount of civil penalties which may be assessed for any series of violations occurring within one year from the date of the first violation shall not exceed $1 million.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324.5(4)</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or revocation for nonpayment of child support. The following procedures shall apply to actions taken by the building code commissioner on a certificate of noncompliance received from the Iowa department of human services pursuant to Iowa Code chapter </w:t>
      </w:r>
      <w:hyperlink r:id="rId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Iowa Code section </w:t>
      </w:r>
      <w:hyperlink r:id="rId9">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shall be served upon the licensee by restricted certified mail, return receipt requested, or personal service in accordance with Iowa Rule of Civil Procedure 1.305. Alternatively, the licensee may accept service personally or through authorized counsel.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effective date of revocation or suspension of certification of a licensee, as specified in the notice required by Iowa Code section </w:t>
      </w:r>
      <w:hyperlink r:id="rId10">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shall be 60 days following service upon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shall keep the building code commissioner informed of all court actions and all child support recovery unit actions taken under or in connection with Iowa Code chapter </w:t>
      </w:r>
      <w:hyperlink r:id="rId11">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shall provide the building code commissioner with copies, within 7 days of filing or issuance, of all applications filed with the district court pursuant to Iowa Code section </w:t>
      </w:r>
      <w:hyperlink r:id="rId12">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all court orders entered in such actions, and withdrawals of certificates of noncompliance by the child support recovery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applicable fees for an application or reinstatement must be paid by the licensee before a license will be issued, renewed, or reinstated after the building code commissioner has denied the issuance or renewal of a license or has suspended or revoked a license pursuant to Iowa Code chapter </w:t>
      </w:r>
      <w:hyperlink r:id="rId13">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licensee files a timely district court action following service of a notice pursuant to Iowa Code sections </w:t>
      </w:r>
      <w:hyperlink r:id="rId1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the building code commissioner shall continue with the intended action described in the notice upon the receipt of a court order lifting the stay, dismissing the action, or otherwise directing the department to proceed. For the purpose of determining the effective date of revocation or suspension of the certification, the building code commissioner shall count the number of days before the action was filed and the number of days after the action was disposed of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Suspensions or revocations imposed pursuant to this subrule may not be appealed administratively within the department of public safety.</w:t>
      </w:r>
    </w:p>
    <w:p>
      <w:pPr>
        <w:spacing w:before="0" w:after="0"/>
        <w:ind w:left="120"/>
        <w:jc w:val="both"/>
      </w:pPr>
      <w:r>
        <w:rPr>
          <w:rFonts w:ascii="Times New Roman" w:hAnsi="Times New Roman"/>
          <w:b w:val="false"/>
          <w:i w:val="false"/>
          <w:color w:val="000000"/>
          <w:sz w:val="22"/>
        </w:rPr>
        <w:t xml:space="preserve">NOTE: </w:t>
      </w:r>
      <w:r>
        <w:rPr>
          <w:rFonts w:ascii="Times New Roman" w:hAnsi="Times New Roman"/>
          <w:b w:val="false"/>
          <w:i w:val="false"/>
          <w:color w:val="000000"/>
          <w:sz w:val="22"/>
        </w:rPr>
        <w:t xml:space="preserve">The procedures established in subrule </w:t>
      </w:r>
      <w:hyperlink r:id="rId16">
        <w:r>
          <w:rPr>
            <w:rStyle w:val="Hyperlink"/>
            <w:rFonts w:ascii="Times New Roman" w:hAnsi="Times New Roman"/>
            <w:b w:val="false"/>
            <w:i w:val="false"/>
            <w:color w:val="000000"/>
            <w:sz w:val="22"/>
          </w:rPr>
          <w:t>324.5(4)</w:t>
        </w:r>
      </w:hyperlink>
      <w:r>
        <w:rPr>
          <w:rFonts w:ascii="Times New Roman" w:hAnsi="Times New Roman"/>
          <w:b w:val="false"/>
          <w:i w:val="false"/>
          <w:color w:val="000000"/>
          <w:sz w:val="22"/>
        </w:rPr>
        <w:t xml:space="preserve"> implement the requirements of Iowa Code chapter </w:t>
      </w:r>
      <w:hyperlink r:id="rId17">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The provisions of Iowa Code chapter </w:t>
      </w:r>
      <w:hyperlink r:id="rId18">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establish mandatory requirements for an agency which administers a licensure program, such as the one established in this chapter, and provide that actions brought under these provisions are not subject to contested case procedures established in Iowa Code chapter </w:t>
      </w:r>
      <w:hyperlink r:id="rId1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but must be appealed directly to district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324.5(5)</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Any denial, suspension, or revocation of a certification, or any civil penalty imposed upon a licensee under this rule, other than one imposed pursuant to </w:t>
      </w:r>
      <w:hyperlink r:id="rId20">
        <w:r>
          <w:rPr>
            <w:rStyle w:val="Hyperlink"/>
            <w:rFonts w:ascii="Times New Roman" w:hAnsi="Times New Roman"/>
            <w:b w:val="false"/>
            <w:i w:val="false"/>
            <w:color w:val="000000"/>
            <w:sz w:val="22"/>
          </w:rPr>
          <w:t>subrule 372.5(4)</w:t>
        </w:r>
      </w:hyperlink>
      <w:r>
        <w:rPr>
          <w:rFonts w:ascii="Times New Roman" w:hAnsi="Times New Roman"/>
          <w:b w:val="false"/>
          <w:i w:val="false"/>
          <w:color w:val="000000"/>
          <w:sz w:val="22"/>
        </w:rPr>
        <w:t xml:space="preserve">, may be appealed by the licensee within 14 days of receipt of the notice. Appeals of actions taken by the building code commissioner under this rule shall be to the commissioner of public safety and shall be treated as contested cases, following the procedures established in </w:t>
      </w:r>
      <w:hyperlink r:id="rId21">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481—324.6</w:t>
      </w:r>
      <w:r>
        <w:rPr>
          <w:rFonts w:ascii="Times New Roman" w:hAnsi="Times New Roman"/>
          <w:b/>
          <w:i w:val="false"/>
          <w:color w:val="000000"/>
          <w:sz w:val="22"/>
        </w:rPr>
        <w:t xml:space="preserve">(103A,321) </w:t>
      </w:r>
      <w:r>
        <w:rPr>
          <w:rFonts w:ascii="Times New Roman" w:hAnsi="Times New Roman"/>
          <w:b/>
          <w:i w:val="false"/>
          <w:color w:val="000000"/>
          <w:sz w:val="22"/>
        </w:rPr>
        <w:t xml:space="preserve">Sale or transfer of manufactured or mobile homes. </w:t>
      </w:r>
      <w:r>
        <w:rPr>
          <w:rFonts w:ascii="Times New Roman" w:hAnsi="Times New Roman"/>
          <w:b w:val="false"/>
          <w:i w:val="false"/>
          <w:color w:val="000000"/>
          <w:sz w:val="22"/>
        </w:rPr>
        <w:t>The following criteria apply to the sale or transfer of manufactured or mobile homes.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324.6(1)</w:t>
      </w:r>
      <w:r>
        <w:rPr>
          <w:rFonts w:ascii="Times New Roman" w:hAnsi="Times New Roman"/>
          <w:b w:val="false"/>
          <w:i w:val="false"/>
          <w:color w:val="000000"/>
          <w:sz w:val="22"/>
        </w:rPr>
        <w:t> </w:t>
      </w:r>
      <w:r>
        <w:rPr>
          <w:rFonts w:ascii="Times New Roman" w:hAnsi="Times New Roman"/>
          <w:b w:val="false"/>
          <w:i/>
          <w:color w:val="000000"/>
          <w:sz w:val="22"/>
        </w:rPr>
        <w:t xml:space="preserve">Retailer sales.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manufactured home, which was manufactured on or after June 15, 1976, and which is owned by a retailer, shall not be offered for sale unless the retailer has a properly assigned manufacturer’s certificate of origin or a certificate of title, a seal from the United States Department of Housing and Urban Development properly attached, a data plate attached by the manufacturer, and a manufacturer’s installation manual for the home, if the manual is available to the retailer. A retailer shall not sell a manufactured or mobile home owned by the retailer without delivering to the transferee a manufacturer’s certificate of origin or a certificate of title duly assigned to the transferee.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used manufactured or mobile home with an Iowa title assigned to the retailer shall not be reassigned by the retailer. After acquiring the used home, the retailer shall obtain a new certificate of title as required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324.6(2)</w:t>
      </w:r>
      <w:r>
        <w:rPr>
          <w:rFonts w:ascii="Times New Roman" w:hAnsi="Times New Roman"/>
          <w:b w:val="false"/>
          <w:i w:val="false"/>
          <w:color w:val="000000"/>
          <w:sz w:val="22"/>
        </w:rPr>
        <w:t> </w:t>
      </w:r>
      <w:r>
        <w:rPr>
          <w:rFonts w:ascii="Times New Roman" w:hAnsi="Times New Roman"/>
          <w:b w:val="false"/>
          <w:i/>
          <w:color w:val="000000"/>
          <w:sz w:val="22"/>
        </w:rPr>
        <w:t xml:space="preserve">Transfers. </w:t>
      </w:r>
      <w:r>
        <w:rPr>
          <w:rFonts w:ascii="Times New Roman" w:hAnsi="Times New Roman"/>
          <w:b w:val="false"/>
          <w:i w:val="false"/>
          <w:color w:val="000000"/>
          <w:sz w:val="22"/>
        </w:rPr>
        <w:t>A manufactured or mobile home not owned by a retailer may be offered for sale and sold by a retailer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manufactured or mobile home owner and retailer shall enter into a written listing agreement, signed by the owner or by one owner of a manufactured or mobile home owned jointly by more than one person, and signed by the retailer, which shall be dated and include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make, model year, and vehicle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period of time that the agreement shall remain in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commission or other remuneration that the retailer is entitled to receive.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price for which the manufactured or mobile home shall be sold.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secured party, if the manufactured or mobile home is subject to a security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additional terms to which the owner(s) and retailer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current taxes have not been paid, the taxes and penalties shall be paid from the proceeds of the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retailer shall inform a prospective purchaser of a manufactured or mobile home that the home is not owned by the retailer and, if requested by a prospective purchaser, provide the name and address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offer to purchase a manufactured or mobile home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retailer shall make a written disclosure to the purchaser of the description of the manufactured or mobile home; the name and address of the owner; if the home is subject to a security interest, the name and address of the secured party; and, if the current taxes have not been paid, the amount of taxes and penalties due. The disclosure statement shall be signed and dated by the transferee. The disclosure statement shall be in duplicate. The original shall be given to the transferee and the duplicate retained by the retailer, at the retailer’s principal place of business, for a period of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documents required pursuant to this subrule shall be made available to the commissioner or any designee of the commissioner for inspection upon request.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481—324.7</w:t>
      </w:r>
      <w:r>
        <w:rPr>
          <w:rFonts w:ascii="Times New Roman" w:hAnsi="Times New Roman"/>
          <w:b/>
          <w:i w:val="false"/>
          <w:color w:val="000000"/>
          <w:sz w:val="22"/>
        </w:rPr>
        <w:t xml:space="preserve">(103A) </w:t>
      </w:r>
      <w:r>
        <w:rPr>
          <w:rFonts w:ascii="Times New Roman" w:hAnsi="Times New Roman"/>
          <w:b/>
          <w:i w:val="false"/>
          <w:color w:val="000000"/>
          <w:sz w:val="22"/>
        </w:rPr>
        <w:t xml:space="preserve">Right of inspection. </w:t>
      </w:r>
      <w:r>
        <w:rPr>
          <w:rFonts w:ascii="Times New Roman" w:hAnsi="Times New Roman"/>
          <w:b w:val="false"/>
          <w:i w:val="false"/>
          <w:color w:val="000000"/>
          <w:sz w:val="22"/>
        </w:rPr>
        <w:t>The commissioner or any designee of the commissioner shall have the authority to inspect manufactured or mobile homes, business records, manufacturer’s certificates of origin, certificates of title or other evidence of ownership of each manufactured or mobile home offered for sale.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481—324.8</w:t>
      </w:r>
      <w:r>
        <w:rPr>
          <w:rFonts w:ascii="Times New Roman" w:hAnsi="Times New Roman"/>
          <w:b/>
          <w:i w:val="false"/>
          <w:color w:val="000000"/>
          <w:sz w:val="22"/>
        </w:rPr>
        <w:t xml:space="preserve">(103A) </w:t>
      </w:r>
      <w:r>
        <w:rPr>
          <w:rFonts w:ascii="Times New Roman" w:hAnsi="Times New Roman"/>
          <w:b/>
          <w:i w:val="false"/>
          <w:color w:val="000000"/>
          <w:sz w:val="22"/>
        </w:rPr>
        <w:t xml:space="preserve">Criteria for obtaining a manufactured or mobile home manufacturer’s or distributor’s license. </w:t>
      </w:r>
      <w:r>
        <w:rPr>
          <w:rFonts w:ascii="Times New Roman" w:hAnsi="Times New Roman"/>
          <w:b w:val="false"/>
          <w:i w:val="false"/>
          <w:color w:val="000000"/>
          <w:sz w:val="22"/>
        </w:rPr>
        <w:t>Information concerning license requirements may be obtained from the Building Code Bureau, Building and Construction Division, Iowa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manufactured or mobile home manufacturer or distributor shall file a completed application form at least 30 days prior to the expiration of a current license, or if the application is for an initial license, 30 days prior to the date on which the manufacturer or distributor anticipates doing business. A manufacturer or distributor may not operate without a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324.8(2)</w:t>
      </w:r>
      <w:r>
        <w:rPr>
          <w:rFonts w:ascii="Times New Roman" w:hAnsi="Times New Roman"/>
          <w:b w:val="false"/>
          <w:i w:val="false"/>
          <w:color w:val="000000"/>
          <w:sz w:val="22"/>
        </w:rPr>
        <w:t> </w:t>
      </w:r>
      <w:r>
        <w:rPr>
          <w:rFonts w:ascii="Times New Roman" w:hAnsi="Times New Roman"/>
          <w:b w:val="false"/>
          <w:i/>
          <w:color w:val="000000"/>
          <w:sz w:val="22"/>
        </w:rPr>
        <w:t xml:space="preserve">Expiration. </w:t>
      </w:r>
      <w:r>
        <w:rPr>
          <w:rFonts w:ascii="Times New Roman" w:hAnsi="Times New Roman"/>
          <w:b w:val="false"/>
          <w:i w:val="false"/>
          <w:color w:val="000000"/>
          <w:sz w:val="22"/>
        </w:rPr>
        <w:t>Each license expires on January 1 of the calendar year following the year in which it is issued, except that a license issued in December of any year shall cover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324.8(3)</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The license fee established by statute is $100 annually or for any portion of a year, except that a license issued in December of any year is valid for the following calendar year and any manufacturer or distributor with a license valid for a particular calendar year may continue to operate under that license until the end of January of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324.8(4)</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Manufactured or mobile home manufacturers and distributors shall, within ten days of the fact, notify the bureau in writing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change in the name, method of doing business or location of the place of business as shown on the license and shall include a fee of $100 in payment of a new license reflecting the change. However, a change in the location of the place of business when the original location is in an area subject to a disaster emergency proclamation issued by the governor pursuant to Iowa Code section </w:t>
      </w:r>
      <w:hyperlink r:id="rId22">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 xml:space="preserve"> and when the relocation results from flooding, storm damage, or other conditions which form a basis for issuance of the disaster emergency proclamation shall not require the issuance of a new license. In these circumstances, an amended license shall be furnished to the licensee at no charge to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Issuance of a contract with a person in this state to sell new manufactured or mobile homes at retail.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change in the trade names of manufactured or mobile homes being manufactured for delivery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324.8(5)</w:t>
      </w:r>
      <w:r>
        <w:rPr>
          <w:rFonts w:ascii="Times New Roman" w:hAnsi="Times New Roman"/>
          <w:b w:val="false"/>
          <w:i w:val="false"/>
          <w:color w:val="000000"/>
          <w:sz w:val="22"/>
        </w:rPr>
        <w:t> </w:t>
      </w:r>
      <w:r>
        <w:rPr>
          <w:rFonts w:ascii="Times New Roman" w:hAnsi="Times New Roman"/>
          <w:b w:val="false"/>
          <w:i/>
          <w:color w:val="000000"/>
          <w:sz w:val="22"/>
        </w:rPr>
        <w:t xml:space="preserve">Required acts. </w:t>
      </w:r>
      <w:r>
        <w:rPr>
          <w:rFonts w:ascii="Times New Roman" w:hAnsi="Times New Roman"/>
          <w:b w:val="false"/>
          <w:i w:val="false"/>
          <w:color w:val="000000"/>
          <w:sz w:val="22"/>
        </w:rPr>
        <w:t>Manufactured or mobile home manufacturers and distributors shall furnish sample manufacturer’s certificates of origin to the commissioner for each make of manufactured or mobile home assembled by the manufacturer for delivery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481—324.9</w:t>
      </w:r>
      <w:r>
        <w:rPr>
          <w:rFonts w:ascii="Times New Roman" w:hAnsi="Times New Roman"/>
          <w:b/>
          <w:i w:val="false"/>
          <w:color w:val="000000"/>
          <w:sz w:val="22"/>
        </w:rPr>
        <w:t xml:space="preserve">(17A,103A) </w:t>
      </w:r>
      <w:r>
        <w:rPr>
          <w:rFonts w:ascii="Times New Roman" w:hAnsi="Times New Roman"/>
          <w:b/>
          <w:i w:val="false"/>
          <w:color w:val="000000"/>
          <w:sz w:val="22"/>
        </w:rPr>
        <w:t xml:space="preserve">Waivers. </w:t>
      </w:r>
      <w:r>
        <w:rPr>
          <w:rFonts w:ascii="Times New Roman" w:hAnsi="Times New Roman"/>
          <w:b w:val="false"/>
          <w:i w:val="false"/>
          <w:color w:val="000000"/>
          <w:sz w:val="22"/>
        </w:rPr>
        <w:t xml:space="preserve">Applications for waivers of the provisions of the rules in this chapter may be submitted and shall be considered under the procedures and criteria established in </w:t>
      </w:r>
      <w:hyperlink r:id="rId23">
        <w:r>
          <w:rPr>
            <w:rStyle w:val="Hyperlink"/>
            <w:rFonts w:ascii="Times New Roman" w:hAnsi="Times New Roman"/>
            <w:b w:val="false"/>
            <w:i w:val="false"/>
            <w:color w:val="000000"/>
            <w:sz w:val="22"/>
          </w:rPr>
          <w:t>481—Chapter 6</w:t>
        </w:r>
      </w:hyperlink>
      <w:r>
        <w:rPr>
          <w:rFonts w:ascii="Times New Roman" w:hAnsi="Times New Roman"/>
          <w:b w:val="false"/>
          <w:i w:val="false"/>
          <w:color w:val="000000"/>
          <w:sz w:val="22"/>
        </w:rPr>
        <w:t>, except for the following:</w:t>
      </w:r>
    </w:p>
    <w:p>
      <w:pPr>
        <w:spacing w:before="0" w:after="0"/>
        <w:ind w:left="120"/>
        <w:jc w:val="both"/>
      </w:pPr>
      <w:r>
        <w:rPr>
          <w:rFonts w:ascii="Times New Roman" w:hAnsi="Times New Roman"/>
          <w:b w:val="false"/>
          <w:i w:val="false"/>
          <w:color w:val="000000"/>
          <w:sz w:val="22"/>
        </w:rPr>
        <w:t>1. Petitions for waivers shall be addressed to:</w:t>
      </w:r>
    </w:p>
    <w:p>
      <w:pPr>
        <w:spacing w:before="0" w:after="0"/>
        <w:ind w:left="120"/>
        <w:jc w:val="both"/>
      </w:pPr>
      <w:r>
        <w:rPr>
          <w:rFonts w:ascii="Times New Roman" w:hAnsi="Times New Roman"/>
          <w:b w:val="false"/>
          <w:i w:val="false"/>
          <w:color w:val="000000"/>
          <w:sz w:val="22"/>
        </w:rPr>
        <w:t>Building Code Commissioner</w:t>
      </w:r>
    </w:p>
    <w:p>
      <w:pPr>
        <w:spacing w:before="0" w:after="0"/>
        <w:ind w:left="120"/>
        <w:jc w:val="both"/>
      </w:pPr>
      <w:r>
        <w:rPr>
          <w:rFonts w:ascii="Times New Roman" w:hAnsi="Times New Roman"/>
          <w:b w:val="false"/>
          <w:i w:val="false"/>
          <w:color w:val="000000"/>
          <w:sz w:val="22"/>
        </w:rPr>
        <w:t>Building Code Bureau</w:t>
      </w:r>
    </w:p>
    <w:p>
      <w:pPr>
        <w:spacing w:before="0" w:after="0"/>
        <w:ind w:left="120"/>
        <w:jc w:val="both"/>
      </w:pPr>
      <w:r>
        <w:rPr>
          <w:rFonts w:ascii="Times New Roman" w:hAnsi="Times New Roman"/>
          <w:b w:val="false"/>
          <w:i w:val="false"/>
          <w:color w:val="000000"/>
          <w:sz w:val="22"/>
        </w:rPr>
        <w:t>Building and Construction Division</w:t>
      </w:r>
    </w:p>
    <w:p>
      <w:pPr>
        <w:spacing w:before="0" w:after="0"/>
        <w:ind w:left="120"/>
        <w:jc w:val="both"/>
      </w:pPr>
      <w:r>
        <w:rPr>
          <w:rFonts w:ascii="Times New Roman" w:hAnsi="Times New Roman"/>
          <w:b w:val="false"/>
          <w:i w:val="false"/>
          <w:color w:val="000000"/>
          <w:sz w:val="22"/>
        </w:rPr>
        <w:t>Iowa Department of Inspections, Appeals, and Licensing</w:t>
      </w:r>
    </w:p>
    <w:p>
      <w:pPr>
        <w:spacing w:before="0" w:after="0"/>
        <w:ind w:left="120"/>
        <w:jc w:val="both"/>
      </w:pPr>
      <w:r>
        <w:rPr>
          <w:rFonts w:ascii="Times New Roman" w:hAnsi="Times New Roman"/>
          <w:b w:val="false"/>
          <w:i w:val="false"/>
          <w:color w:val="000000"/>
          <w:sz w:val="22"/>
        </w:rPr>
        <w:t>6200 Park Avenue, Suite 100</w:t>
      </w:r>
    </w:p>
    <w:p>
      <w:pPr>
        <w:spacing w:before="0" w:after="0"/>
        <w:ind w:left="120"/>
        <w:jc w:val="both"/>
      </w:pPr>
      <w:r>
        <w:rPr>
          <w:rFonts w:ascii="Times New Roman" w:hAnsi="Times New Roman"/>
          <w:b w:val="false"/>
          <w:i w:val="false"/>
          <w:color w:val="000000"/>
          <w:sz w:val="22"/>
        </w:rPr>
        <w:t>Des Moines, Iowa 50321</w:t>
      </w:r>
    </w:p>
    <w:p>
      <w:pPr>
        <w:spacing w:before="0" w:after="0"/>
        <w:ind w:left="120"/>
        <w:jc w:val="both"/>
      </w:pPr>
      <w:r>
        <w:rPr>
          <w:rFonts w:ascii="Times New Roman" w:hAnsi="Times New Roman"/>
          <w:b w:val="false"/>
          <w:i w:val="false"/>
          <w:color w:val="000000"/>
          <w:sz w:val="22"/>
        </w:rPr>
        <w:t xml:space="preserve">2. Consideration of and determinations regarding requests for waivers of any provision of this chapter shall be the responsibility of the building code commissioner. Any reference to “department” in </w:t>
      </w:r>
      <w:hyperlink r:id="rId24">
        <w:r>
          <w:rPr>
            <w:rStyle w:val="Hyperlink"/>
            <w:rFonts w:ascii="Times New Roman" w:hAnsi="Times New Roman"/>
            <w:b w:val="false"/>
            <w:i w:val="false"/>
            <w:color w:val="000000"/>
            <w:sz w:val="22"/>
          </w:rPr>
          <w:t>7—Chapter 2504</w:t>
        </w:r>
      </w:hyperlink>
      <w:r>
        <w:rPr>
          <w:rFonts w:ascii="Times New Roman" w:hAnsi="Times New Roman"/>
          <w:b w:val="false"/>
          <w:i w:val="false"/>
          <w:color w:val="000000"/>
          <w:sz w:val="22"/>
        </w:rPr>
        <w:t xml:space="preserve"> shall be replaced, for purposes of this rule, with “building code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6/17/09</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25">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2006 Iowa Acts, Senate File 2394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11/2/06, Notice 9/27/06—published 11/22/06, effective 1/1/07]</w:t>
      </w:r>
    </w:p>
    <w:p>
      <w:pPr>
        <w:spacing w:before="0" w:after="0"/>
        <w:ind w:left="120"/>
        <w:jc w:val="center"/>
      </w:pPr>
      <w:r>
        <w:rPr>
          <w:rFonts w:ascii="Times New Roman" w:hAnsi="Times New Roman"/>
          <w:b w:val="false"/>
          <w:i w:val="false"/>
          <w:color w:val="000000"/>
          <w:sz w:val="21"/>
        </w:rPr>
        <w:t>[Filed emergency 11/29/06—published 12/20/06, effective 1/1/07]</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7/30/08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6/17/09]</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3A.pdf" Type="http://schemas.openxmlformats.org/officeDocument/2006/relationships/hyperlink" Id="rId5"/>
    <Relationship TargetMode="External" Target="https://www.legis.iowa.gov/docs/ico/chapter/103A.pdf" Type="http://schemas.openxmlformats.org/officeDocument/2006/relationships/hyperlink" Id="rId6"/>
    <Relationship TargetMode="External" Target="https://www.legis.iowa.gov/docs/ico/chapter/103A.pdf" Type="http://schemas.openxmlformats.org/officeDocument/2006/relationships/hyperlink" Id="rId7"/>
    <Relationship TargetMode="External" Target="https://www.legis.iowa.gov/docs/ico/chapter/252J.pdf" Type="http://schemas.openxmlformats.org/officeDocument/2006/relationships/hyperlink" Id="rId8"/>
    <Relationship TargetMode="External" Target="https://www.legis.iowa.gov/docs/ico/chapter/252J.8.pdf" Type="http://schemas.openxmlformats.org/officeDocument/2006/relationships/hyperlink" Id="rId9"/>
    <Relationship TargetMode="External" Target="https://www.legis.iowa.gov/docs/ico/chapter/252J.8.pdf" Type="http://schemas.openxmlformats.org/officeDocument/2006/relationships/hyperlink" Id="rId10"/>
    <Relationship TargetMode="External" Target="https://www.legis.iowa.gov/docs/ico/chapter/252J.pdf" Type="http://schemas.openxmlformats.org/officeDocument/2006/relationships/hyperlink" Id="rId11"/>
    <Relationship TargetMode="External" Target="https://www.legis.iowa.gov/docs/ico/chapter/252J.9.pdf" Type="http://schemas.openxmlformats.org/officeDocument/2006/relationships/hyperlink" Id="rId12"/>
    <Relationship TargetMode="External" Target="https://www.legis.iowa.gov/docs/ico/chapter/252J.pdf" Type="http://schemas.openxmlformats.org/officeDocument/2006/relationships/hyperlink" Id="rId13"/>
    <Relationship TargetMode="External" Target="https://www.legis.iowa.gov/docs/ico/chapter/252J.8.pdf" Type="http://schemas.openxmlformats.org/officeDocument/2006/relationships/hyperlink" Id="rId14"/>
    <Relationship TargetMode="External" Target="https://www.legis.iowa.gov/docs/ico/chapter/252J.9.pdf" Type="http://schemas.openxmlformats.org/officeDocument/2006/relationships/hyperlink" Id="rId15"/>
    <Relationship TargetMode="External" Target="https://www.legis.iowa.gov/docs/iac/rule/481.324.5.pdf" Type="http://schemas.openxmlformats.org/officeDocument/2006/relationships/hyperlink" Id="rId16"/>
    <Relationship TargetMode="External" Target="https://www.legis.iowa.gov/docs/ico/chapter/252J.pdf" Type="http://schemas.openxmlformats.org/officeDocument/2006/relationships/hyperlink" Id="rId17"/>
    <Relationship TargetMode="External" Target="https://www.legis.iowa.gov/docs/ico/chapter/252J.pdf" Type="http://schemas.openxmlformats.org/officeDocument/2006/relationships/hyperlink" Id="rId18"/>
    <Relationship TargetMode="External" Target="https://www.legis.iowa.gov/docs/ico/chapter/17A.pdf" Type="http://schemas.openxmlformats.org/officeDocument/2006/relationships/hyperlink" Id="rId19"/>
    <Relationship TargetMode="External" Target="https://www.legis.iowa.gov/docs/iac/rule/661.372.5.pdf" Type="http://schemas.openxmlformats.org/officeDocument/2006/relationships/hyperlink" Id="rId20"/>
    <Relationship TargetMode="External" Target="https://www.legis.iowa.gov/docs/iac/chapter/7.2506.pdf" Type="http://schemas.openxmlformats.org/officeDocument/2006/relationships/hyperlink" Id="rId21"/>
    <Relationship TargetMode="External" Target="https://www.legis.iowa.gov/docs/ico/chapter/29C.6.pdf" Type="http://schemas.openxmlformats.org/officeDocument/2006/relationships/hyperlink" Id="rId22"/>
    <Relationship TargetMode="External" Target="https://www.legis.iowa.gov/docs/iac/chapter/481.6.pdf" Type="http://schemas.openxmlformats.org/officeDocument/2006/relationships/hyperlink" Id="rId23"/>
    <Relationship TargetMode="External" Target="https://www.legis.iowa.gov/docs/iac/chapter/7.2504.pdf" Type="http://schemas.openxmlformats.org/officeDocument/2006/relationships/hyperlink" Id="rId24"/>
    <Relationship TargetMode="External" Target="https://www.legis.iowa.gov/docs/ico/chapter/103A.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