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BUILDING AND CONSTRUCTION DIVISION: BUILDING CODE BUREAU</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STATE BUILDING CODE—ADMINISTRATION</w:t>
      </w:r>
    </w:p>
    <w:p>
      <w:pPr>
        <w:spacing w:before="0" w:after="0"/>
        <w:ind w:left="120"/>
        <w:jc w:val="center"/>
      </w:pPr>
      <w:r>
        <w:rPr>
          <w:rFonts w:ascii="Times New Roman" w:hAnsi="Times New Roman"/>
          <w:b w:val="false"/>
          <w:i w:val="false"/>
          <w:color w:val="000000"/>
          <w:sz w:val="14"/>
        </w:rPr>
        <w:t>[Prior to 12/21/05, see rules 661—16.1(103A) to 661—16.500(103A)]</w:t>
      </w:r>
    </w:p>
    <w:p>
      <w:pPr>
        <w:spacing w:before="0" w:after="0"/>
        <w:ind w:left="120"/>
        <w:jc w:val="center"/>
      </w:pPr>
      <w:r>
        <w:rPr>
          <w:rFonts w:ascii="Times New Roman" w:hAnsi="Times New Roman"/>
          <w:b w:val="false"/>
          <w:i w:val="false"/>
          <w:color w:val="000000"/>
          <w:sz w:val="14"/>
        </w:rPr>
        <w:t>[Prior to 11/26/25, see Public Safety Department[661] Ch 300]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481—300.1</w:t>
      </w:r>
      <w:r>
        <w:rPr>
          <w:rFonts w:ascii="Times New Roman" w:hAnsi="Times New Roman"/>
          <w:b/>
          <w:i w:val="false"/>
          <w:color w:val="000000"/>
          <w:sz w:val="22"/>
        </w:rPr>
        <w:t xml:space="preserve">(103A) </w:t>
      </w:r>
      <w:r>
        <w:rPr>
          <w:rFonts w:ascii="Times New Roman" w:hAnsi="Times New Roman"/>
          <w:b/>
          <w:i w:val="false"/>
          <w:color w:val="000000"/>
          <w:sz w:val="22"/>
        </w:rPr>
        <w:t xml:space="preserve">State building code promulgated; 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are incorporated herein by reference. Iowa Code section </w:t>
      </w:r>
      <w:hyperlink r:id="rId6">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empowers and directs the commissioner to adopt and promulgate the state building code, with the approval of the council, except that adoption of the state historic building code requires the approval of the state historical society board, rather than the council, pursuant to Iowa Code section </w:t>
      </w:r>
      <w:hyperlink r:id="rId7">
        <w:r>
          <w:rPr>
            <w:rStyle w:val="Hyperlink"/>
            <w:rFonts w:ascii="Times New Roman" w:hAnsi="Times New Roman"/>
            <w:b w:val="false"/>
            <w:i w:val="false"/>
            <w:color w:val="000000"/>
            <w:sz w:val="22"/>
          </w:rPr>
          <w:t>103A.41</w:t>
        </w:r>
      </w:hyperlink>
      <w:r>
        <w:rPr>
          <w:rFonts w:ascii="Times New Roman" w:hAnsi="Times New Roman"/>
          <w:b w:val="false"/>
          <w:i w:val="false"/>
          <w:color w:val="000000"/>
          <w:sz w:val="22"/>
        </w:rPr>
        <w:t xml:space="preserve">. The state building code includes </w:t>
      </w:r>
      <w:hyperlink r:id="rId8">
        <w:r>
          <w:rPr>
            <w:rStyle w:val="Hyperlink"/>
            <w:rFonts w:ascii="Times New Roman" w:hAnsi="Times New Roman"/>
            <w:b w:val="false"/>
            <w:i w:val="false"/>
            <w:color w:val="000000"/>
            <w:sz w:val="22"/>
          </w:rPr>
          <w:t>481—Chapters 300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481—300.2</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commissioner. </w:t>
      </w:r>
      <w:r>
        <w:rPr>
          <w:rFonts w:ascii="Times New Roman" w:hAnsi="Times New Roman"/>
          <w:b w:val="false"/>
          <w:i w:val="false"/>
          <w:color w:val="000000"/>
          <w:sz w:val="22"/>
        </w:rPr>
        <w:t xml:space="preserve">The commissioner appointed pursuant to Iowa Code section </w:t>
      </w:r>
      <w:hyperlink r:id="rId13">
        <w:r>
          <w:rPr>
            <w:rStyle w:val="Hyperlink"/>
            <w:rFonts w:ascii="Times New Roman" w:hAnsi="Times New Roman"/>
            <w:b w:val="false"/>
            <w:i w:val="false"/>
            <w:color w:val="000000"/>
            <w:sz w:val="22"/>
          </w:rPr>
          <w:t>103A.4</w:t>
        </w:r>
      </w:hyperlink>
      <w:r>
        <w:rPr>
          <w:rFonts w:ascii="Times New Roman" w:hAnsi="Times New Roman"/>
          <w:b w:val="false"/>
          <w:i w:val="false"/>
          <w:color w:val="000000"/>
          <w:sz w:val="22"/>
        </w:rPr>
        <w:t xml:space="preserve"> will adopt, and amend as needed, the state building code with the approval of the council and the state historic building code with the approval of the state historical society board; appoint the board of review from among the council membership; consider any request for the use of alternate materials or methods of construction submitted to the building code bureau pursuant to Iowa Code section </w:t>
      </w:r>
      <w:hyperlink r:id="rId14">
        <w:r>
          <w:rPr>
            <w:rStyle w:val="Hyperlink"/>
            <w:rFonts w:ascii="Times New Roman" w:hAnsi="Times New Roman"/>
            <w:b w:val="false"/>
            <w:i w:val="false"/>
            <w:color w:val="000000"/>
            <w:sz w:val="22"/>
          </w:rPr>
          <w:t>103A.13</w:t>
        </w:r>
      </w:hyperlink>
      <w:r>
        <w:rPr>
          <w:rFonts w:ascii="Times New Roman" w:hAnsi="Times New Roman"/>
          <w:b w:val="false"/>
          <w:i w:val="false"/>
          <w:color w:val="000000"/>
          <w:sz w:val="22"/>
        </w:rPr>
        <w:t>; and either disapprove each such request or recommend approval of the request to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481—300.3</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advisory council. </w:t>
      </w:r>
      <w:r>
        <w:rPr>
          <w:rFonts w:ascii="Times New Roman" w:hAnsi="Times New Roman"/>
          <w:b w:val="false"/>
          <w:i w:val="false"/>
          <w:color w:val="000000"/>
          <w:sz w:val="22"/>
        </w:rPr>
        <w:t xml:space="preserve">The council appointed pursuant to Iowa Code section </w:t>
      </w:r>
      <w:hyperlink r:id="rId15">
        <w:r>
          <w:rPr>
            <w:rStyle w:val="Hyperlink"/>
            <w:rFonts w:ascii="Times New Roman" w:hAnsi="Times New Roman"/>
            <w:b w:val="false"/>
            <w:i w:val="false"/>
            <w:color w:val="000000"/>
            <w:sz w:val="22"/>
          </w:rPr>
          <w:t>103A.14</w:t>
        </w:r>
      </w:hyperlink>
      <w:r>
        <w:rPr>
          <w:rFonts w:ascii="Times New Roman" w:hAnsi="Times New Roman"/>
          <w:b w:val="false"/>
          <w:i w:val="false"/>
          <w:color w:val="000000"/>
          <w:sz w:val="22"/>
        </w:rPr>
        <w:t xml:space="preserve"> will consider amendments to the state building code proposed by the commissioner, other than amendments to the state historic building code; approve or disapprove any changes to the state building code proposed by the commissioner; and consider and approve or disapprove any requests for use of alternate materials or methods of construction, the approval of which has been recommended to the council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481—300.4</w:t>
      </w:r>
      <w:r>
        <w:rPr>
          <w:rFonts w:ascii="Times New Roman" w:hAnsi="Times New Roman"/>
          <w:b/>
          <w:i w:val="false"/>
          <w:color w:val="000000"/>
          <w:sz w:val="22"/>
        </w:rPr>
        <w:t xml:space="preserve">(103A) </w:t>
      </w:r>
      <w:r>
        <w:rPr>
          <w:rFonts w:ascii="Times New Roman" w:hAnsi="Times New Roman"/>
          <w:b/>
          <w:i w:val="false"/>
          <w:color w:val="000000"/>
          <w:sz w:val="22"/>
        </w:rPr>
        <w:t xml:space="preserve">Plan 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300.4(1)</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review—approvals.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Submissions to the commissioner of architectural technical documents, engineering documents, and plans and specifications are the responsibility of the owner of a building or facility. The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“Responsible design professional” means a registered architect or licensed professional engineer who signs the documents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have to be sufficiently clear and complete to show in detail that the proposed work will comply with the requirements of the applicable provisions of the state building code.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Sections 107.1 and 107.2.6 of the International Building Code, 2024 edition, the word “permit” is replaced by the words “plan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commissioner  have to be certified or stamped and signed according to Iowa Code chapters </w:t>
      </w:r>
      <w:hyperlink r:id="rId1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a specific exception under Iowa Code section </w:t>
      </w:r>
      <w:hyperlink r:id="rId1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professional engineering as defined by Iowa Code section </w:t>
      </w:r>
      <w:hyperlink r:id="rId19">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for projects subject to plan review by the commissioner have to be submitted in a format specified on the plan review submittal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state-owned buildings or facilities, including additions to existing buildings, have to be submitted to the commissioner for review and comment.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0">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 Architectural technical submissions; engineering documents; and plans and specifications for the initial construction of any building or facility that will not be wholly owned by the state or an agency of the state  have to be submitted to the commissioner for review and comment, if the construction is financed in whole or in part with funds appropriated by the state and there is no local building code in effect in the local jurisdiction in which the construction is planned or, if there is such a local building code in effect, it is not enforced through a system that includes both plan reviews and inspections.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1">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buildings or facilities, including additions to existing buildings, to which the state building code applies, other than those subject to paragraph </w:t>
      </w:r>
      <w:hyperlink r:id="rId22">
        <w:r>
          <w:rPr>
            <w:rStyle w:val="Hyperlink"/>
            <w:rFonts w:ascii="Times New Roman" w:hAnsi="Times New Roman"/>
            <w:b w:val="false"/>
            <w:i w:val="false"/>
            <w:color w:val="000000"/>
            <w:sz w:val="22"/>
          </w:rPr>
          <w:t>300.4(1)</w:t>
        </w:r>
        <w:r>
          <w:rPr>
            <w:rFonts w:ascii="Times New Roman" w:hAnsi="Times New Roman"/>
            <w:b w:val="false"/>
            <w:i/>
            <w:color w:val="000000"/>
            <w:sz w:val="22"/>
          </w:rPr>
          <w:t>“g”</w:t>
        </w:r>
      </w:hyperlink>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have to be submitted to the commissioner for review and comment unless applicability of the state building code is based upon a local ordinance enacted pursuant to Iowa Code section </w:t>
      </w:r>
      <w:hyperlink r:id="rId23">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A written response by the design professional indicating corrective measures taken to address the commissioner’s plan review comments has to be submitted to and approved by the commissioner prior to the issuance of construction documents for bidding. Bidding may commence on a project after the preliminary meeting provided for in subrule </w:t>
      </w:r>
      <w:hyperlink r:id="rId24">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state building code applies to a construction project based upon a local ordinance adopting the state building code, the submission has to be made to the local jurisdiction, provided that the local jurisdiction has established a building department, unless the local jurisdiction requires submission to the commissioner. Review and approval of such documents by the commissioner are at the discretion of the commissioner based upon available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life cycle cost analysis will be needed for new public projects and additions over 20,000 square feet or a renovation that exceeds 50 percent of the value of the building pursuant to Iowa Code chapter </w:t>
      </w:r>
      <w:hyperlink r:id="rId2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will be submitted to the commissioner before construction commences. The department has developed life cycle cost analysis guidelines to assist architects and engineers in completing this analysis, and these guidelines are available on the department’s website or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Any necessary energy code review pursuant to </w:t>
      </w:r>
      <w:hyperlink r:id="rId26">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Part 3, will be completed prior to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300.4(2)</w:t>
      </w:r>
      <w:r>
        <w:rPr>
          <w:rFonts w:ascii="Times New Roman" w:hAnsi="Times New Roman"/>
          <w:b w:val="false"/>
          <w:i w:val="false"/>
          <w:color w:val="000000"/>
          <w:sz w:val="22"/>
        </w:rPr>
        <w:t> </w:t>
      </w:r>
      <w:r>
        <w:rPr>
          <w:rFonts w:ascii="Times New Roman" w:hAnsi="Times New Roman"/>
          <w:b w:val="false"/>
          <w:i/>
          <w:color w:val="000000"/>
          <w:sz w:val="22"/>
        </w:rPr>
        <w:t xml:space="preserve">Copies and fees. </w:t>
      </w:r>
      <w:hyperlink r:id="rId27">
        <w:r>
          <w:rPr>
            <w:rStyle w:val="Hyperlink"/>
            <w:rFonts w:ascii="Times New Roman" w:hAnsi="Times New Roman"/>
            <w:b w:val="false"/>
            <w:i w:val="false"/>
            <w:color w:val="000000"/>
            <w:sz w:val="22"/>
          </w:rPr>
          <w:t>481—Chapters 321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describe fees pertaining to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Codes and standards adopted by reference in the state building code that are published by other organizations, including but not limited to the American National Standards Institute, the International Code Council, the International Association of Plumbing and Mechanical Officials, and the National Fire Protection Association, may be purchased from the publishing organization. A copy of each code or standard adopted by reference in the state building code has been deposited in the Iowa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fees for plan reviews completed by the building code bureau are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143"/>
        <w:gridCol w:w="4377"/>
      </w:tblGrid>
      <w:tr>
        <w:trPr>
          <w:trHeight w:val="270"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9"/>
              </w:rPr>
              <w:t>Estimated Construction Costs</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9"/>
              </w:rPr>
              <w:t>Calculation of Plan Review Fee</w:t>
            </w:r>
          </w:p>
        </w:tc>
      </w:tr>
      <w:tr>
        <w:trPr>
          <w:trHeight w:val="465"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Up to and including $1 million</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$.58 per thousand dollars or fraction thereof (minimum fee $200)</w:t>
            </w:r>
          </w:p>
        </w:tc>
      </w:tr>
      <w:tr>
        <w:trPr>
          <w:trHeight w:val="690"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More than $1 million</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$580 for the first $1 million plus $.32 for each additional thousand dollars or fraction thereof</w:t>
            </w:r>
          </w:p>
        </w:tc>
      </w:tr>
      <w:tr>
        <w:trPr>
          <w:trHeight w:val="46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xml:space="preserve">The plan review fees for fire suppression systems and fire alarm systems are separate fees and </w:t>
            </w:r>
            <w:r>
              <w:br/>
            </w:r>
            <w:r>
              <w:rPr>
                <w:rFonts w:ascii="Times New Roman" w:hAnsi="Times New Roman"/>
                <w:b w:val="false"/>
                <w:i w:val="false"/>
                <w:color w:val="000000"/>
                <w:sz w:val="19"/>
              </w:rPr>
              <w:t>are calculated as follows:</w:t>
            </w:r>
          </w:p>
        </w:tc>
      </w:tr>
      <w:tr>
        <w:trPr>
          <w:trHeight w:val="270"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9"/>
              </w:rPr>
              <w:t>Fire Protection System Costs</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9"/>
              </w:rPr>
              <w:t>Plan Review Fee</w:t>
            </w:r>
          </w:p>
        </w:tc>
      </w:tr>
      <w:tr>
        <w:trPr>
          <w:trHeight w:val="465"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Fire suppression systems whose construction cost for materials and installation is calculated to be up to and including $5,000</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$100</w:t>
            </w:r>
          </w:p>
        </w:tc>
      </w:tr>
      <w:tr>
        <w:trPr>
          <w:trHeight w:val="690"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xml:space="preserve">Fire suppression systems whose construction cost for materials and installation is calculated to be more than $5,000 and up to and </w:t>
            </w:r>
            <w:r>
              <w:br/>
            </w:r>
            <w:r>
              <w:rPr>
                <w:rFonts w:ascii="Times New Roman" w:hAnsi="Times New Roman"/>
                <w:b w:val="false"/>
                <w:i w:val="false"/>
                <w:color w:val="000000"/>
                <w:sz w:val="19"/>
              </w:rPr>
              <w:t>including $20,000</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$200</w:t>
            </w:r>
          </w:p>
        </w:tc>
      </w:tr>
      <w:tr>
        <w:trPr>
          <w:trHeight w:val="465"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Fire suppression systems whose construction cost for materials and installation is estimated to be more than $20,000</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$400</w:t>
            </w:r>
          </w:p>
        </w:tc>
      </w:tr>
      <w:tr>
        <w:trPr>
          <w:trHeight w:val="465"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Fire alarm systems whose construction cost for materials and installation is calculated to be up to and including $5,000</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$100</w:t>
            </w:r>
          </w:p>
        </w:tc>
      </w:tr>
      <w:tr>
        <w:trPr>
          <w:trHeight w:val="690" w:hRule="atLeast"/>
        </w:trPr>
        <w:tc>
          <w:tcPr>
            <w:tcW w:w="714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xml:space="preserve">Fire alarm systems whose construction cost for materials and installation is calculated to be more than $5,000 and up to and </w:t>
            </w:r>
            <w:r>
              <w:br/>
            </w:r>
            <w:r>
              <w:rPr>
                <w:rFonts w:ascii="Times New Roman" w:hAnsi="Times New Roman"/>
                <w:b w:val="false"/>
                <w:i w:val="false"/>
                <w:color w:val="000000"/>
                <w:sz w:val="19"/>
              </w:rPr>
              <w:t>including $20,000</w:t>
            </w:r>
          </w:p>
        </w:tc>
        <w:tc>
          <w:tcPr>
            <w:tcW w:w="437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$200</w:t>
            </w:r>
          </w:p>
        </w:tc>
      </w:tr>
      <w:tr>
        <w:trPr>
          <w:trHeight w:val="465" w:hRule="atLeast"/>
        </w:trPr>
        <w:tc>
          <w:tcPr>
            <w:tcW w:w="714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Fire alarm systems whose construction cost for materials and installation is estimated to be more than $20,000</w:t>
            </w:r>
          </w:p>
        </w:tc>
        <w:tc>
          <w:tcPr>
            <w:tcW w:w="437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$400</w:t>
            </w:r>
          </w:p>
        </w:tc>
      </w:tr>
    </w:tbl>
    <w:p>
      <w:pPr>
        <w:spacing w:before="0" w:after="0"/>
        <w:ind w:left="120"/>
        <w:jc w:val="both"/>
      </w:pPr>
      <w:r>
        <w:rPr>
          <w:rFonts w:ascii="Times New Roman" w:hAnsi="Times New Roman"/>
          <w:b w:val="false"/>
          <w:i w:val="false"/>
          <w:color w:val="000000"/>
          <w:sz w:val="22"/>
        </w:rPr>
        <w:t xml:space="preserve">Payment of the assigned fee has to accompany each plan when submitted for review. Payment may be made by money order, check, or draft made payable to the Treasurer, State of Iowa.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Plan review fees for assisted living projects are contained in Iowa Code section </w:t>
      </w:r>
      <w:hyperlink r:id="rId29">
        <w:r>
          <w:rPr>
            <w:rStyle w:val="Hyperlink"/>
            <w:rFonts w:ascii="Times New Roman" w:hAnsi="Times New Roman"/>
            <w:b w:val="false"/>
            <w:i w:val="false"/>
            <w:color w:val="000000"/>
            <w:sz w:val="22"/>
          </w:rPr>
          <w:t>231C.18(2)</w:t>
        </w:r>
      </w:hyperlink>
      <w:r>
        <w:rPr>
          <w:rFonts w:ascii="Times New Roman" w:hAnsi="Times New Roman"/>
          <w:b w:val="false"/>
          <w:i/>
          <w:color w:val="000000"/>
          <w:sz w:val="22"/>
        </w:rPr>
        <w:t>“c.”</w:t>
      </w:r>
      <w:r>
        <w:rPr>
          <w:rFonts w:ascii="Times New Roman" w:hAnsi="Times New Roman"/>
          <w:b w:val="false"/>
          <w:i w:val="false"/>
          <w:color w:val="000000"/>
          <w:sz w:val="22"/>
        </w:rPr>
        <w:t xml:space="preserve"> Elder group home plan review fees are contained in Iowa Code section </w:t>
      </w:r>
      <w:hyperlink r:id="rId30">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Adult day services plan review fees are contained in Iowa Code section </w:t>
      </w:r>
      <w:hyperlink r:id="rId31">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submitted a plan for review for which a fee has been assessed pursuant to paragraph </w:t>
      </w:r>
      <w:hyperlink r:id="rId32">
        <w:r>
          <w:rPr>
            <w:rStyle w:val="Hyperlink"/>
            <w:rFonts w:ascii="Times New Roman" w:hAnsi="Times New Roman"/>
            <w:b w:val="false"/>
            <w:i w:val="false"/>
            <w:color w:val="000000"/>
            <w:sz w:val="22"/>
          </w:rPr>
          <w:t>300.4(2)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eligible to receive a refund of the fee if the plan has not been approved or rejected within 60 calendar days of its receipt by the building code bureau. A person who believes that a refund is due may notify the commissioner, who will provide a form to request a refund. If the request for refund is approved, the commissioner will cause a check for the amount of the refund to be issued to the individual or organization that originally paid the fee. If the original submission of the plan is incomplete, the fee will be refunded only if the plan has not been approved or rejected within 60 days of a full and complete submission of the plan. “Approved or rejected within 60 days” means that a letter approving or rejecting the plan has been presented or mailed to the submitter within 60 days of the date of receipt by the building code bureau, within the meaning of “time” as defined in Iowa Code section </w:t>
      </w:r>
      <w:hyperlink r:id="rId3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300.4(3)</w:t>
      </w:r>
      <w:r>
        <w:rPr>
          <w:rFonts w:ascii="Times New Roman" w:hAnsi="Times New Roman"/>
          <w:b w:val="false"/>
          <w:i w:val="false"/>
          <w:color w:val="000000"/>
          <w:sz w:val="22"/>
        </w:rPr>
        <w:t> </w:t>
      </w:r>
      <w:r>
        <w:rPr>
          <w:rFonts w:ascii="Times New Roman" w:hAnsi="Times New Roman"/>
          <w:b w:val="false"/>
          <w:i/>
          <w:color w:val="000000"/>
          <w:sz w:val="22"/>
        </w:rPr>
        <w:t xml:space="preserve">Preliminary meeting. </w:t>
      </w:r>
      <w:r>
        <w:rPr>
          <w:rFonts w:ascii="Times New Roman" w:hAnsi="Times New Roman"/>
          <w:b w:val="false"/>
          <w:i w:val="false"/>
          <w:color w:val="000000"/>
          <w:sz w:val="22"/>
        </w:rPr>
        <w:t>The responsible design professional for a project shall contact the building code bureau to schedule a preliminary meeting to discuss code compliance issues early in the design development phase. There is no separate fee for a preliminary meeting. If the responsible design professional plans to request approval to bid the project as part of the preliminary meeting, that person  has to request a copy of the document “Preliminary Meeting Checklist” at the time the meeting is scheduled and be prepared to address all applicable issues identified on the checklist at the preliminary meeting. Approval to bid the project will not be given unless all applicable issues identified on the checklist have been addressed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300.4(4)</w:t>
      </w:r>
      <w:r>
        <w:rPr>
          <w:rFonts w:ascii="Times New Roman" w:hAnsi="Times New Roman"/>
          <w:b w:val="false"/>
          <w:i w:val="false"/>
          <w:color w:val="000000"/>
          <w:sz w:val="22"/>
        </w:rPr>
        <w:t> </w:t>
      </w:r>
      <w:r>
        <w:rPr>
          <w:rFonts w:ascii="Times New Roman" w:hAnsi="Times New Roman"/>
          <w:b w:val="false"/>
          <w:i/>
          <w:color w:val="000000"/>
          <w:sz w:val="22"/>
        </w:rPr>
        <w:t xml:space="preserve">Requests for staged 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begin foundation work shall be submitted to the building code bureau in writing and may be transmitted by mail, email, or fax or in person. Foundation approval may be granted by the bureau in writing, following a preliminary meeting, if the construction plans and specifications are in compliance with the requisite code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continue construction beyond the foundation, up to and including the shell of the building, shall be submitted to the bureau in writing and may be transmitted by mail, email, or fax or in person. These requests will be evaluated on a case-by-case basis, and approval or denial of the requests will be transmitted to the submitter in a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300.4(5)</w:t>
      </w:r>
      <w:r>
        <w:rPr>
          <w:rFonts w:ascii="Times New Roman" w:hAnsi="Times New Roman"/>
          <w:b w:val="false"/>
          <w:i w:val="false"/>
          <w:color w:val="000000"/>
          <w:sz w:val="22"/>
        </w:rPr>
        <w:t> </w:t>
      </w:r>
      <w:r>
        <w:rPr>
          <w:rFonts w:ascii="Times New Roman" w:hAnsi="Times New Roman"/>
          <w:b w:val="false"/>
          <w:i/>
          <w:color w:val="000000"/>
          <w:sz w:val="22"/>
        </w:rPr>
        <w:t xml:space="preserve">Fast-track projects. </w:t>
      </w:r>
      <w:r>
        <w:rPr>
          <w:rFonts w:ascii="Times New Roman" w:hAnsi="Times New Roman"/>
          <w:b w:val="false"/>
          <w:i w:val="false"/>
          <w:color w:val="000000"/>
          <w:sz w:val="22"/>
        </w:rPr>
        <w:t>While fast-track projects are not encouraged and will only be approved on the basis of good cause shown, fast-track projects may be considered by the commissioner on a case-by-case basis. If a fast-track project is initially approved, a written plan of submittal, review and approval will be developed for each project. A full set of construction documents are needed for a full review and approval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481—300.5</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300.5(1)</w:t>
      </w:r>
      <w:r>
        <w:rPr>
          <w:rFonts w:ascii="Times New Roman" w:hAnsi="Times New Roman"/>
          <w:b w:val="false"/>
          <w:i w:val="false"/>
          <w:color w:val="000000"/>
          <w:sz w:val="22"/>
        </w:rPr>
        <w:t> </w:t>
      </w:r>
      <w:r>
        <w:rPr>
          <w:rFonts w:ascii="Times New Roman" w:hAnsi="Times New Roman"/>
          <w:b w:val="false"/>
          <w:i w:val="false"/>
          <w:color w:val="000000"/>
          <w:sz w:val="22"/>
        </w:rPr>
        <w:t>Any building or facility for which construction is subject to a plan review by the commissioner, except construction involving any building or facility owned by the board of regents or by any institution subject to the authority of the board of regents, is subject to inspection by the commissioner or staff of the bureau or division at the direction of the commissioner or by a third party with whom the commissioner contracts to conduct inspections of buildings and facilities subject to the state building code.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Construction that is limited to building renovations or repairs is not subject to inspection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300.5(2)</w:t>
      </w:r>
      <w:r>
        <w:rPr>
          <w:rFonts w:ascii="Times New Roman" w:hAnsi="Times New Roman"/>
          <w:b w:val="false"/>
          <w:i w:val="false"/>
          <w:color w:val="000000"/>
          <w:sz w:val="22"/>
        </w:rPr>
        <w:t> </w:t>
      </w:r>
      <w:r>
        <w:rPr>
          <w:rFonts w:ascii="Times New Roman" w:hAnsi="Times New Roman"/>
          <w:b w:val="false"/>
          <w:i w:val="false"/>
          <w:color w:val="000000"/>
          <w:sz w:val="22"/>
        </w:rPr>
        <w:t>Any construction involving any building or facility owned by the board of regents or by an institution subject to the authority of the board of regents is subject to inspection by the commissioner or staff of the bureau or division at the direction of the commissioner.</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Construction that is limited to building renovations or repairs is not subject to inspection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300.5(3)</w:t>
      </w:r>
      <w:r>
        <w:rPr>
          <w:rFonts w:ascii="Times New Roman" w:hAnsi="Times New Roman"/>
          <w:b w:val="false"/>
          <w:i w:val="false"/>
          <w:color w:val="000000"/>
          <w:sz w:val="22"/>
        </w:rPr>
        <w:t> </w:t>
      </w:r>
      <w:r>
        <w:rPr>
          <w:rFonts w:ascii="Times New Roman" w:hAnsi="Times New Roman"/>
          <w:b w:val="false"/>
          <w:i w:val="false"/>
          <w:color w:val="000000"/>
          <w:sz w:val="22"/>
        </w:rPr>
        <w:t>Buildings subject to inspection by the commissioner, except construction involving any building or facility owned by the board of regents or by any institution subject to the authority of the board of regents, shall pay an inspection fee based upon the construction cost of the project. The inspection fee is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94"/>
        <w:gridCol w:w="4996"/>
      </w:tblGrid>
      <w:tr>
        <w:trPr>
          <w:trHeight w:val="28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Construction Cost</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Base Inspection Fee</w:t>
            </w:r>
          </w:p>
        </w:tc>
      </w:tr>
      <w:tr>
        <w:trPr>
          <w:trHeight w:val="270"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Up to $100,000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$598</w:t>
            </w:r>
          </w:p>
        </w:tc>
      </w:tr>
      <w:tr>
        <w:trPr>
          <w:trHeight w:val="270"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$100,001 to $1,000,000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$645</w:t>
            </w:r>
          </w:p>
        </w:tc>
      </w:tr>
      <w:tr>
        <w:trPr>
          <w:trHeight w:val="270"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$1,000,001 to $10,000,000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$722</w:t>
            </w:r>
          </w:p>
        </w:tc>
      </w:tr>
      <w:tr>
        <w:trPr>
          <w:trHeight w:val="270"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$10,000,001 and above</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$783</w:t>
            </w:r>
          </w:p>
        </w:tc>
      </w:tr>
      <w:tr>
        <w:trPr>
          <w:trHeight w:val="270" w:hRule="atLeast"/>
        </w:trPr>
        <w:tc>
          <w:tcPr>
            <w:tcW w:w="619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Follow-up inspection</w:t>
            </w:r>
          </w:p>
        </w:tc>
        <w:tc>
          <w:tcPr>
            <w:tcW w:w="4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$214</w:t>
            </w:r>
          </w:p>
        </w:tc>
      </w:tr>
    </w:tbl>
    <w:p>
      <w:pPr>
        <w:spacing w:before="0" w:after="0"/>
        <w:ind w:left="120"/>
        <w:jc w:val="both"/>
      </w:pPr>
      <w:r>
        <w:rPr>
          <w:rFonts w:ascii="Times New Roman" w:hAnsi="Times New Roman"/>
          <w:b w:val="false"/>
          <w:i w:val="false"/>
          <w:color w:val="000000"/>
          <w:sz w:val="22"/>
        </w:rPr>
        <w:t xml:space="preserve"> The base inspection fee covers three inspections—a foundation, rough-in, and final. The base inspection fee is due and payable at the time completed construction documents are submitted for review. The plan review will not be conducted until the proper base inspection fee is paid. Checks should be made payable to the Treasurer, State of Iowa, and delivered to the bureau office. This fee is separate and distinct from the plan review fee established in subrule </w:t>
      </w:r>
      <w:hyperlink r:id="rId34">
        <w:r>
          <w:rPr>
            <w:rStyle w:val="Hyperlink"/>
            <w:rFonts w:ascii="Times New Roman" w:hAnsi="Times New Roman"/>
            <w:b w:val="false"/>
            <w:i w:val="false"/>
            <w:color w:val="000000"/>
            <w:sz w:val="22"/>
          </w:rPr>
          <w:t>300.4(2)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Additional inspections may occur for any of the following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one of the three base inspections, code violations are identified that require that a follow-up inspection be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inspector finds that the project is not ready for the type of inspection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special request of the project designer, contractor,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order of the building code commissioner (no additional charge).</w:t>
      </w:r>
    </w:p>
    <w:p>
      <w:pPr>
        <w:spacing w:before="0" w:after="0"/>
        <w:ind w:left="120"/>
        <w:jc w:val="both"/>
      </w:pPr>
      <w:r>
        <w:rPr>
          <w:rFonts w:ascii="Times New Roman" w:hAnsi="Times New Roman"/>
          <w:b w:val="false"/>
          <w:i w:val="false"/>
          <w:color w:val="000000"/>
          <w:sz w:val="22"/>
        </w:rPr>
        <w:t xml:space="preserve">The fee for each additional inspection is calculated as follows: </w:t>
      </w:r>
    </w:p>
    <w:p>
      <w:pPr>
        <w:spacing w:before="0" w:after="0"/>
        <w:ind w:left="120"/>
        <w:jc w:val="both"/>
      </w:pPr>
      <w:r>
        <w:rPr>
          <w:rFonts w:ascii="Times New Roman" w:hAnsi="Times New Roman"/>
          <w:b w:val="false"/>
          <w:i w:val="false"/>
          <w:color w:val="000000"/>
          <w:sz w:val="22"/>
        </w:rPr>
        <w:t>One hour on site = $206</w:t>
      </w:r>
    </w:p>
    <w:p>
      <w:pPr>
        <w:spacing w:before="0" w:after="0"/>
        <w:ind w:left="120"/>
        <w:jc w:val="both"/>
      </w:pPr>
      <w:r>
        <w:rPr>
          <w:rFonts w:ascii="Times New Roman" w:hAnsi="Times New Roman"/>
          <w:b w:val="false"/>
          <w:i w:val="false"/>
          <w:color w:val="000000"/>
          <w:sz w:val="22"/>
        </w:rPr>
        <w:t>One to two hours on site = $240</w:t>
      </w:r>
    </w:p>
    <w:p>
      <w:pPr>
        <w:spacing w:before="0" w:after="0"/>
        <w:ind w:left="120"/>
        <w:jc w:val="both"/>
      </w:pPr>
      <w:r>
        <w:rPr>
          <w:rFonts w:ascii="Times New Roman" w:hAnsi="Times New Roman"/>
          <w:b w:val="false"/>
          <w:i w:val="false"/>
          <w:color w:val="000000"/>
          <w:sz w:val="22"/>
        </w:rPr>
        <w:t>Two to three hours on site = $273</w:t>
      </w:r>
    </w:p>
    <w:p>
      <w:pPr>
        <w:spacing w:before="0" w:after="0"/>
        <w:ind w:left="120"/>
        <w:jc w:val="both"/>
      </w:pPr>
      <w:r>
        <w:rPr>
          <w:rFonts w:ascii="Times New Roman" w:hAnsi="Times New Roman"/>
          <w:b w:val="false"/>
          <w:i w:val="false"/>
          <w:color w:val="000000"/>
          <w:sz w:val="22"/>
        </w:rPr>
        <w:t>Three to four hours on site = $307</w:t>
      </w:r>
    </w:p>
    <w:p>
      <w:pPr>
        <w:spacing w:before="0" w:after="0"/>
        <w:ind w:left="120"/>
        <w:jc w:val="both"/>
      </w:pPr>
      <w:r>
        <w:rPr>
          <w:rFonts w:ascii="Times New Roman" w:hAnsi="Times New Roman"/>
          <w:b w:val="false"/>
          <w:i w:val="false"/>
          <w:color w:val="000000"/>
          <w:sz w:val="22"/>
        </w:rPr>
        <w:t>Four to five hours on site = $341</w:t>
      </w:r>
    </w:p>
    <w:p>
      <w:pPr>
        <w:spacing w:before="0" w:after="0"/>
        <w:ind w:left="120"/>
        <w:jc w:val="both"/>
      </w:pPr>
      <w:r>
        <w:rPr>
          <w:rFonts w:ascii="Times New Roman" w:hAnsi="Times New Roman"/>
          <w:b w:val="false"/>
          <w:i w:val="false"/>
          <w:color w:val="000000"/>
          <w:sz w:val="22"/>
        </w:rPr>
        <w:t>Five to six hours on site = $374</w:t>
      </w:r>
    </w:p>
    <w:p>
      <w:pPr>
        <w:spacing w:before="0" w:after="0"/>
        <w:ind w:left="120"/>
        <w:jc w:val="both"/>
      </w:pPr>
      <w:r>
        <w:rPr>
          <w:rFonts w:ascii="Times New Roman" w:hAnsi="Times New Roman"/>
          <w:b w:val="false"/>
          <w:i w:val="false"/>
          <w:color w:val="000000"/>
          <w:sz w:val="22"/>
        </w:rPr>
        <w:t>Additional inspection fees will be billed to the responsible architect or building contractor on a monthly basis. The building may receive only temporary approval for occupancy if unpaid inspection fees remain at the time of final inspection.</w:t>
      </w:r>
    </w:p>
    <w:p>
      <w:pPr>
        <w:spacing w:before="0" w:after="0"/>
        <w:ind w:left="120"/>
        <w:jc w:val="both"/>
      </w:pPr>
      <w:r>
        <w:rPr>
          <w:rFonts w:ascii="Times New Roman" w:hAnsi="Times New Roman"/>
          <w:b w:val="false"/>
          <w:i w:val="false"/>
          <w:color w:val="000000"/>
          <w:sz w:val="22"/>
        </w:rPr>
        <w:t xml:space="preserve">Inspection fees and standard operating procedures for construction involving any building or facility owned by the board of regents or by any institution subject to the authority of the board of regents will be established through a written agreement between the commissioner and the board of regents.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performs a building code inspection on behalf of the building code commissioner will have and maintain one of the following: (1) current certification as a commercial building inspector by the International Code Council, or (2) other equivalent certification approved by the building code commissioner. An employee of the department who performs an inspection on behalf of the building code commissioner will, in addition, meet any requirements for the job class in which the employee is classified as established by the department of administrative services, pursuant to Iowa Code chapter </w:t>
      </w:r>
      <w:hyperlink r:id="rId3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 part 2.</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employee of the department who performs inspections on behalf of the building code commissioner may perform such inspections for no more than six months prior to obtaining certification.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481—300.6</w:t>
      </w:r>
      <w:r>
        <w:rPr>
          <w:rFonts w:ascii="Times New Roman" w:hAnsi="Times New Roman"/>
          <w:b/>
          <w:i w:val="false"/>
          <w:color w:val="000000"/>
          <w:sz w:val="22"/>
        </w:rPr>
        <w:t xml:space="preserve">(103A) </w:t>
      </w:r>
      <w:r>
        <w:rPr>
          <w:rFonts w:ascii="Times New Roman" w:hAnsi="Times New Roman"/>
          <w:b/>
          <w:i w:val="false"/>
          <w:color w:val="000000"/>
          <w:sz w:val="22"/>
        </w:rPr>
        <w:t xml:space="preserve">Local code enforcement. </w:t>
      </w:r>
      <w:r>
        <w:rPr>
          <w:rFonts w:ascii="Times New Roman" w:hAnsi="Times New Roman"/>
          <w:b w:val="false"/>
          <w:i w:val="false"/>
          <w:color w:val="000000"/>
          <w:sz w:val="22"/>
        </w:rPr>
        <w:t>Provisions of the state building code applicable statewide or applicable in a local jurisdiction that has adopted the state building code by local ordinance may be enforced by the local jurisdiction.</w:t>
      </w:r>
    </w:p>
    <w:p>
      <w:pPr>
        <w:spacing w:before="0" w:after="0"/>
        <w:ind w:left="120"/>
        <w:jc w:val="both"/>
      </w:pPr>
      <w:r>
        <w:rPr>
          <w:rFonts w:ascii="Times New Roman" w:hAnsi="Times New Roman"/>
          <w:b w:val="false"/>
          <w:i w:val="false"/>
          <w:color w:val="000000"/>
          <w:sz w:val="22"/>
        </w:rPr>
        <w:t>Any local jurisdiction that adopts the state building code by local ordinance may further adopt provisions for the administration and enforcement of the building code by the local jurisdiction. These provisions may include administrative provisions contained in the codes adopted by reference as part of the state building code and may include other provisions at the discretion of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300.6(1)</w:t>
      </w:r>
      <w:r>
        <w:rPr>
          <w:rFonts w:ascii="Times New Roman" w:hAnsi="Times New Roman"/>
          <w:b w:val="false"/>
          <w:i w:val="false"/>
          <w:color w:val="000000"/>
          <w:sz w:val="22"/>
        </w:rPr>
        <w:t> </w:t>
      </w:r>
      <w:r>
        <w:rPr>
          <w:rFonts w:ascii="Times New Roman" w:hAnsi="Times New Roman"/>
          <w:b w:val="false"/>
          <w:i/>
          <w:color w:val="000000"/>
          <w:sz w:val="22"/>
        </w:rPr>
        <w:t xml:space="preserve">Creation of department. </w:t>
      </w:r>
      <w:r>
        <w:rPr>
          <w:rFonts w:ascii="Times New Roman" w:hAnsi="Times New Roman"/>
          <w:b w:val="false"/>
          <w:i w:val="false"/>
          <w:color w:val="000000"/>
          <w:sz w:val="22"/>
        </w:rPr>
        <w:t xml:space="preserve">There may be established within the governmental subdivision a “building department” that is under the jurisdiction of the building official designated by the appointing authority. Within the state building code, including publications adopted by reference within the state building code, the terms “administrative authority,” “authority having jurisdiction,” and “authorized representative” mean the building official. The local governmental subdivision must inform the state building code bureau, in writing transmitted by mail, email, or fax, when it establishes or dissolves a building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300.6(2)</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of building official. </w:t>
      </w:r>
      <w:r>
        <w:rPr>
          <w:rFonts w:ascii="Times New Roman" w:hAnsi="Times New Roman"/>
          <w:b w:val="false"/>
          <w:i w:val="false"/>
          <w:color w:val="000000"/>
          <w:sz w:val="22"/>
        </w:rPr>
        <w:t xml:space="preserve">The building official in those governmental subdivisions establishing a building department will enforce all the provisions of any applicable building code as prescribed by local law or ordinance and as outlined by Iowa Code section </w:t>
      </w:r>
      <w:hyperlink r:id="rId36">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300.6(3)</w:t>
      </w:r>
      <w:r>
        <w:rPr>
          <w:rFonts w:ascii="Times New Roman" w:hAnsi="Times New Roman"/>
          <w:b w:val="false"/>
          <w:i w:val="false"/>
          <w:color w:val="000000"/>
          <w:sz w:val="22"/>
        </w:rPr>
        <w:t> </w:t>
      </w:r>
      <w:r>
        <w:rPr>
          <w:rFonts w:ascii="Times New Roman" w:hAnsi="Times New Roman"/>
          <w:b w:val="false"/>
          <w:i/>
          <w:color w:val="000000"/>
          <w:sz w:val="22"/>
        </w:rPr>
        <w:t xml:space="preserve">Permits only. </w:t>
      </w:r>
      <w:r>
        <w:rPr>
          <w:rFonts w:ascii="Times New Roman" w:hAnsi="Times New Roman"/>
          <w:b w:val="false"/>
          <w:i w:val="false"/>
          <w:color w:val="000000"/>
          <w:sz w:val="22"/>
        </w:rPr>
        <w:t>Any governmental subdivision that has not established a building department but requires a permit to construct or an occupancy permit or both is known as the “issuing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300.6(4)</w:t>
      </w:r>
      <w:r>
        <w:rPr>
          <w:rFonts w:ascii="Times New Roman" w:hAnsi="Times New Roman"/>
          <w:b w:val="false"/>
          <w:i w:val="false"/>
          <w:color w:val="000000"/>
          <w:sz w:val="22"/>
        </w:rPr>
        <w:t> </w:t>
      </w:r>
      <w:r>
        <w:rPr>
          <w:rFonts w:ascii="Times New Roman" w:hAnsi="Times New Roman"/>
          <w:b w:val="false"/>
          <w:i/>
          <w:color w:val="000000"/>
          <w:sz w:val="22"/>
        </w:rPr>
        <w:t xml:space="preserve">Statement of compliance with energy conservation requirements. </w:t>
      </w:r>
      <w:r>
        <w:rPr>
          <w:rFonts w:ascii="Times New Roman" w:hAnsi="Times New Roman"/>
          <w:b w:val="false"/>
          <w:i w:val="false"/>
          <w:color w:val="000000"/>
          <w:sz w:val="22"/>
        </w:rPr>
        <w:t>Any application for a building permit, except for applications to renovate or remodel residential buildings of one or two units, shall include a statement that the construction will comply with all applicable energy conservation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9473C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without Notice 11/2/06—published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9473C</w:t>
      </w:r>
      <w:r>
        <w:rPr>
          <w:rFonts w:ascii="Times New Roman" w:hAnsi="Times New Roman"/>
          <w:b w:val="false"/>
          <w:i w:val="false"/>
          <w:color w:val="000000"/>
          <w:sz w:val="21"/>
        </w:rPr>
        <w:t xml:space="preserve"> (Notice ARC 9051C,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3.pdf" Type="http://schemas.openxmlformats.org/officeDocument/2006/relationships/hyperlink" Id="rId5"/>
    <Relationship TargetMode="External" Target="https://www.legis.iowa.gov/docs/ico/chapter/103A.7.pdf" Type="http://schemas.openxmlformats.org/officeDocument/2006/relationships/hyperlink" Id="rId6"/>
    <Relationship TargetMode="External" Target="https://www.legis.iowa.gov/docs/ico/chapter/103A.41.pdf" Type="http://schemas.openxmlformats.org/officeDocument/2006/relationships/hyperlink" Id="rId7"/>
    <Relationship TargetMode="External" Target="https://www.legis.iowa.gov/docs/iac/chapter/481.300.pdf" Type="http://schemas.openxmlformats.org/officeDocument/2006/relationships/hyperlink" Id="rId8"/>
    <Relationship TargetMode="External" Target="https://www.legis.iowa.gov/docs/iac/chapter/481.301.pdf" Type="http://schemas.openxmlformats.org/officeDocument/2006/relationships/hyperlink" Id="rId9"/>
    <Relationship TargetMode="External" Target="https://www.legis.iowa.gov/docs/iac/chapter/481.321.pdf" Type="http://schemas.openxmlformats.org/officeDocument/2006/relationships/hyperlink" Id="rId10"/>
    <Relationship TargetMode="External" Target="https://www.legis.iowa.gov/docs/iac/chapter/481.322.pdf" Type="http://schemas.openxmlformats.org/officeDocument/2006/relationships/hyperlink" Id="rId11"/>
    <Relationship TargetMode="External" Target="https://www.legis.iowa.gov/docs/iac/chapter/481.323.pdf" Type="http://schemas.openxmlformats.org/officeDocument/2006/relationships/hyperlink" Id="rId12"/>
    <Relationship TargetMode="External" Target="https://www.legis.iowa.gov/docs/ico/chapter/103A.4.pdf" Type="http://schemas.openxmlformats.org/officeDocument/2006/relationships/hyperlink" Id="rId13"/>
    <Relationship TargetMode="External" Target="https://www.legis.iowa.gov/docs/ico/chapter/103A.13.pdf" Type="http://schemas.openxmlformats.org/officeDocument/2006/relationships/hyperlink" Id="rId14"/>
    <Relationship TargetMode="External" Target="https://www.legis.iowa.gov/docs/ico/chapter/103A.14.pdf" Type="http://schemas.openxmlformats.org/officeDocument/2006/relationships/hyperlink" Id="rId15"/>
    <Relationship TargetMode="External" Target="https://www.legis.iowa.gov/docs/ico/chapter/542B.pdf" Type="http://schemas.openxmlformats.org/officeDocument/2006/relationships/hyperlink" Id="rId16"/>
    <Relationship TargetMode="External" Target="https://www.legis.iowa.gov/docs/ico/chapter/544A.pdf" Type="http://schemas.openxmlformats.org/officeDocument/2006/relationships/hyperlink" Id="rId17"/>
    <Relationship TargetMode="External" Target="https://www.legis.iowa.gov/docs/ico/chapter/544A.18.pdf" Type="http://schemas.openxmlformats.org/officeDocument/2006/relationships/hyperlink" Id="rId18"/>
    <Relationship TargetMode="External" Target="https://www.legis.iowa.gov/docs/ico/chapter/542B.2.pdf" Type="http://schemas.openxmlformats.org/officeDocument/2006/relationships/hyperlink" Id="rId19"/>
    <Relationship TargetMode="External" Target="https://www.legis.iowa.gov/docs/iac/rule/661.300.4.pdf" Type="http://schemas.openxmlformats.org/officeDocument/2006/relationships/hyperlink" Id="rId20"/>
    <Relationship TargetMode="External" Target="https://www.legis.iowa.gov/docs/iac/rule/661.300.4.pdf" Type="http://schemas.openxmlformats.org/officeDocument/2006/relationships/hyperlink" Id="rId21"/>
    <Relationship TargetMode="External" Target="https://www.legis.iowa.gov/docs/iac/rule/661.300.4.pdf" Type="http://schemas.openxmlformats.org/officeDocument/2006/relationships/hyperlink" Id="rId22"/>
    <Relationship TargetMode="External" Target="https://www.legis.iowa.gov/docs/ico/chapter/103A.12.pdf" Type="http://schemas.openxmlformats.org/officeDocument/2006/relationships/hyperlink" Id="rId23"/>
    <Relationship TargetMode="External" Target="https://www.legis.iowa.gov/docs/iac/rule/661.300.4.pdf" Type="http://schemas.openxmlformats.org/officeDocument/2006/relationships/hyperlink" Id="rId24"/>
    <Relationship TargetMode="External" Target="https://www.legis.iowa.gov/docs/ico/chapter/470.pdf" Type="http://schemas.openxmlformats.org/officeDocument/2006/relationships/hyperlink" Id="rId25"/>
    <Relationship TargetMode="External" Target="https://www.legis.iowa.gov/docs/iac/chapter/481.301.pdf" Type="http://schemas.openxmlformats.org/officeDocument/2006/relationships/hyperlink" Id="rId26"/>
    <Relationship TargetMode="External" Target="https://www.legis.iowa.gov/docs/iac/chapter/481.321.pdf" Type="http://schemas.openxmlformats.org/officeDocument/2006/relationships/hyperlink" Id="rId27"/>
    <Relationship TargetMode="External" Target="https://www.legis.iowa.gov/docs/iac/chapter/481.322.pdf" Type="http://schemas.openxmlformats.org/officeDocument/2006/relationships/hyperlink" Id="rId28"/>
    <Relationship TargetMode="External" Target="https://www.legis.iowa.gov/docs/ico/chapter/231C.18.pdf" Type="http://schemas.openxmlformats.org/officeDocument/2006/relationships/hyperlink" Id="rId29"/>
    <Relationship TargetMode="External" Target="https://www.legis.iowa.gov/docs/ico/chapter/231B.17.pdf" Type="http://schemas.openxmlformats.org/officeDocument/2006/relationships/hyperlink" Id="rId30"/>
    <Relationship TargetMode="External" Target="https://www.legis.iowa.gov/docs/ico/chapter/231D.4.pdf" Type="http://schemas.openxmlformats.org/officeDocument/2006/relationships/hyperlink" Id="rId31"/>
    <Relationship TargetMode="External" Target="https://www.legis.iowa.gov/docs/iac/rule/661.300.4.pdf" Type="http://schemas.openxmlformats.org/officeDocument/2006/relationships/hyperlink" Id="rId32"/>
    <Relationship TargetMode="External" Target="https://www.legis.iowa.gov/docs/ico/chapter/4.1.pdf" Type="http://schemas.openxmlformats.org/officeDocument/2006/relationships/hyperlink" Id="rId33"/>
    <Relationship TargetMode="External" Target="https://www.legis.iowa.gov/docs/iac/rule/661.300.4.pdf" Type="http://schemas.openxmlformats.org/officeDocument/2006/relationships/hyperlink" Id="rId34"/>
    <Relationship TargetMode="External" Target="https://www.legis.iowa.gov/docs/ico/chapter/8A.pdf" Type="http://schemas.openxmlformats.org/officeDocument/2006/relationships/hyperlink" Id="rId35"/>
    <Relationship TargetMode="External" Target="https://www.legis.iowa.gov/docs/ico/chapter/103A.19.pdf" Type="http://schemas.openxmlformats.org/officeDocument/2006/relationships/hyperlink" Id="rId36"/>
    <Relationship TargetMode="External" Target="https://www.legis.iowa.gov/docs/ico/chapter/103A.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