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INSPECTIONS DIVISION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FOOD AND CONSUMER SAFETY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481—30.1</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Food and consumer safety bureau. </w:t>
      </w:r>
      <w:r>
        <w:rPr>
          <w:rFonts w:ascii="Times New Roman" w:hAnsi="Times New Roman"/>
          <w:b w:val="false"/>
          <w:i w:val="false"/>
          <w:color w:val="000000"/>
          <w:sz w:val="22"/>
        </w:rPr>
        <w:t>The food and consumer safety bureau inspects food establishments and food processing plants, including food storage facilities (warehouses) and food and beverage vending machines, and hotels and motels. It is also responsible for social and charitable gambling and amusement devices.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481—30.2</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are applicable to 481—Chapters </w:t>
      </w:r>
      <w:hyperlink r:id="rId5">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 If a term is defined herein and by the Food Code adopted in rule </w:t>
      </w:r>
      <w:hyperlink r:id="rId7">
        <w:r>
          <w:rPr>
            <w:rStyle w:val="Hyperlink"/>
            <w:rFonts w:ascii="Times New Roman" w:hAnsi="Times New Roman"/>
            <w:b w:val="false"/>
            <w:i w:val="false"/>
            <w:color w:val="000000"/>
            <w:sz w:val="22"/>
          </w:rPr>
          <w:t>481—31.1</w:t>
        </w:r>
      </w:hyperlink>
      <w:r>
        <w:rPr>
          <w:rFonts w:ascii="Times New Roman" w:hAnsi="Times New Roman"/>
          <w:b w:val="false"/>
          <w:i w:val="false"/>
          <w:color w:val="000000"/>
          <w:sz w:val="22"/>
        </w:rPr>
        <w:t>(137F), the definition set forth herein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“Bed and breakfast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8">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“Bed and breakfast inn”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“Catering”</w:t>
      </w:r>
      <w:r>
        <w:rPr>
          <w:rFonts w:ascii="Times New Roman" w:hAnsi="Times New Roman"/>
          <w:b w:val="false"/>
          <w:i w:val="false"/>
          <w:color w:val="000000"/>
          <w:sz w:val="22"/>
        </w:rPr>
        <w:t> </w:t>
      </w:r>
      <w:r>
        <w:rPr>
          <w:rFonts w:ascii="Times New Roman" w:hAnsi="Times New Roman"/>
          <w:b w:val="false"/>
          <w:i w:val="false"/>
          <w:color w:val="000000"/>
          <w:sz w:val="22"/>
        </w:rPr>
        <w:t>means the preparation of food for distribution to an individual, business, institution or organization for exclusive service to the individual’s, business’s or organization’s nonpaying guests, employees or members or an institution’s residents, students 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wild-harvested mushroom identification expert”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within the last three years successfully completed a wild-harvested mushroom identification training program provided by an accredited college, university, or state mycological society, as evidenced by a document issued therefrom specifying the species of wild mushrooms the individual is qualified to certify. The training program must include a component of actual identification of physical specimens or simulations of mushroom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“Commissary”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municipal corporation, county or other political subdivision that contracts with the department to license and inspect under Iowa Code chapter </w:t>
      </w:r>
      <w:hyperlink r:id="rId11">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“Cottage food”</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Iowa Code section 137F.1.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“Criminal offense”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public offense as defined in Iowa Code section </w:t>
      </w:r>
      <w:hyperlink r:id="rId13">
        <w:r>
          <w:rPr>
            <w:rStyle w:val="Hyperlink"/>
            <w:rFonts w:ascii="Times New Roman" w:hAnsi="Times New Roman"/>
            <w:b w:val="false"/>
            <w:i w:val="false"/>
            <w:color w:val="000000"/>
            <w:sz w:val="22"/>
          </w:rPr>
          <w:t>701.2</w:t>
        </w:r>
      </w:hyperlink>
      <w:r>
        <w:rPr>
          <w:rFonts w:ascii="Times New Roman" w:hAnsi="Times New Roman"/>
          <w:b w:val="false"/>
          <w:i w:val="false"/>
          <w:color w:val="000000"/>
          <w:sz w:val="22"/>
        </w:rPr>
        <w:t xml:space="preserve"> that is prohibited by statute and is punishable by fine or imprisonment.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“Cultivated mushroom”</w:t>
      </w:r>
      <w:r>
        <w:rPr>
          <w:rFonts w:ascii="Times New Roman" w:hAnsi="Times New Roman"/>
          <w:b w:val="false"/>
          <w:i w:val="false"/>
          <w:color w:val="000000"/>
          <w:sz w:val="22"/>
        </w:rPr>
        <w:t> </w:t>
      </w:r>
      <w:r>
        <w:rPr>
          <w:rFonts w:ascii="Times New Roman" w:hAnsi="Times New Roman"/>
          <w:b w:val="false"/>
          <w:i w:val="false"/>
          <w:color w:val="000000"/>
          <w:sz w:val="22"/>
        </w:rPr>
        <w:t>means a mushroom grown through a process in which the grower inoculates a substrate (logs, beds, straw, etc.) with a known strain or species of mushroom spawn in a dedicated space, whether outdoors or indoors, that is under the control of the grower, for the purpose of fruiting mushrooms.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For example, an event does not include a single store’s grand opening 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“Farmers market”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“Farmers market time/temperature control for safety food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for a temporary food establishment that sells unpackaged time/temperature control for safety foods at farmers markets. The license is only applicable at farmers markets and is not required in order to sell wholesome, fresh shell eggs to consumer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 establishment”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operation that stores, prepares, packages, serves, vends or otherwise provides food for human consumption and includes a food service operation in a salvage or distressed food operation, nutrition program operated pursuant to Title III-C of the Older Americans Act, school, summer camp, residential service substance abuse treatment facility, halfway house substance abuse treatment facility, correctional facility operated by the department of corrections, or the state training school. Assisted living programs and adult day services are included in the definition of food establishment to the extent required by 481—subrules </w:t>
      </w:r>
      <w:hyperlink r:id="rId17">
        <w:r>
          <w:rPr>
            <w:rStyle w:val="Hyperlink"/>
            <w:rFonts w:ascii="Times New Roman" w:hAnsi="Times New Roman"/>
            <w:b w:val="false"/>
            <w:i w:val="false"/>
            <w:color w:val="000000"/>
            <w:sz w:val="22"/>
          </w:rPr>
          <w:t>69.28(6)</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70.28(6)</w:t>
        </w:r>
      </w:hyperlink>
      <w:r>
        <w:rPr>
          <w:rFonts w:ascii="Times New Roman" w:hAnsi="Times New Roman"/>
          <w:b w:val="false"/>
          <w:i w:val="false"/>
          <w:color w:val="000000"/>
          <w:sz w:val="22"/>
        </w:rPr>
        <w:t>. “Food establishment”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food processing plant.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establishment that offers only prepackaged foods that are not time/temperature control for safety foods.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produce stand or facility that sells only whole, uncut fresh fruits and vegetables.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Premises that are a home food processing establishment pursuant to Iowa Code chapter </w:t>
      </w:r>
      <w:hyperlink r:id="rId19">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Premises that operate as a farmers market if unpackaged time/temperature control for safety foods are not sold or distributed from the premises.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Premises of a residence in which food is produced pursuant to Iowa Code section </w:t>
      </w:r>
      <w:hyperlink r:id="rId20">
        <w:r>
          <w:rPr>
            <w:rStyle w:val="Hyperlink"/>
            <w:rFonts w:ascii="Times New Roman" w:hAnsi="Times New Roman"/>
            <w:b w:val="false"/>
            <w:i w:val="false"/>
            <w:color w:val="000000"/>
            <w:sz w:val="22"/>
          </w:rPr>
          <w:t>137F.20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kitchen in a private home where food is prepared or stored for family consumption or in a bed and breakfast home.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private home or private party where a personal chef or hired cook is providing food preparation services to a client and the client’s nonpaying guests.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private home that receives catered or home-delivered food.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Child day care facilities and other food establishments located in hospitals or health care facilities that serve only patients and staff and are subject to inspection by other state agencies or divisions of the department.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Supply vehicles or vending machine locations.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Establishments that are exclusively engaged in the processing of meat and poultry and are licensed pursuant to Iowa Code section </w:t>
      </w:r>
      <w:hyperlink r:id="rId21">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A beer, wine or distilled spirits manufacturer, distributor or wholesaler under Iowa Code chapter </w:t>
      </w:r>
      <w:hyperlink r:id="rId22">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provided it is exclusively engaged in the sale of alcoholic beverages in prepackaged form.</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Premises or operations that are exclusively engaged in the processing of milk and milk products, are regulated by Iowa Code sections </w:t>
      </w:r>
      <w:hyperlink r:id="rId23">
        <w:r>
          <w:rPr>
            <w:rStyle w:val="Hyperlink"/>
            <w:rFonts w:ascii="Times New Roman" w:hAnsi="Times New Roman"/>
            <w:b w:val="false"/>
            <w:i w:val="false"/>
            <w:color w:val="000000"/>
            <w:sz w:val="22"/>
          </w:rPr>
          <w:t>192.107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194.1</w:t>
        </w:r>
      </w:hyperlink>
      <w:r>
        <w:rPr>
          <w:rFonts w:ascii="Times New Roman" w:hAnsi="Times New Roman"/>
          <w:b w:val="false"/>
          <w:i w:val="false"/>
          <w:color w:val="000000"/>
          <w:sz w:val="22"/>
        </w:rPr>
        <w:t>, and have a milk or milk products permit issued by the department of agriculture and land stewardship.</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 xml:space="preserve">Premises or operations that are exclusively engaged in the production of shell eggs, are regulated by Iowa Code section </w:t>
      </w:r>
      <w:hyperlink r:id="rId25">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and have an egg handler’s license.</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Premises of a residence in which honey is stored; prepared; packaged, including by placement in a container; or labeled or from which honey is distributed.</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Premises regularly used by a nonprofit organization that engages in the serving of food on the premises as long as the nonprofit organization does not exceed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nonprofit organization serves food no more than one day per calendar week and not on two or more consecutive days;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Twice per year, the nonprofit organization may serve food to the public for up to three consecutive days;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nonprofit organization may use the premises of another nonprofit organization not more than twice per year for one day to serve food.</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A stand operated by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 processing plant”</w:t>
      </w:r>
      <w:r>
        <w:rPr>
          <w:rFonts w:ascii="Times New Roman" w:hAnsi="Times New Roman"/>
          <w:b w:val="false"/>
          <w:i w:val="false"/>
          <w:color w:val="000000"/>
          <w:sz w:val="22"/>
        </w:rPr>
        <w:t> </w:t>
      </w:r>
      <w:r>
        <w:rPr>
          <w:rFonts w:ascii="Times New Roman" w:hAnsi="Times New Roman"/>
          <w:b w:val="false"/>
          <w:i w:val="false"/>
          <w:color w:val="000000"/>
          <w:sz w:val="22"/>
        </w:rPr>
        <w:t>means a commercial operation that manufactures, packages, labels or stores food for human consumption and does not provide food directly to a consumer. “Food processing plant”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beer, wine or distilled spirits manufacturer, distributor or wholesaler under Iowa Code chapter </w:t>
      </w:r>
      <w:hyperlink r:id="rId2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provided it is exclusively engaged in the sale of alcoholic beverages in a prepackaged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premises of a residence in which honey is stored; prepared; packaged, including by placement in a container; or labeled or from which honey is distributed.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Premises or operations that are exclusively engaged in the processing of meat and poultry and are licensed pursuant to Iowa Code section </w:t>
      </w:r>
      <w:hyperlink r:id="rId27">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Premises or operations that are exclusively engaged in the processing of milk or milk products, are regulated by Iowa Code sections </w:t>
      </w:r>
      <w:hyperlink r:id="rId28">
        <w:r>
          <w:rPr>
            <w:rStyle w:val="Hyperlink"/>
            <w:rFonts w:ascii="Times New Roman" w:hAnsi="Times New Roman"/>
            <w:b w:val="false"/>
            <w:i w:val="false"/>
            <w:color w:val="000000"/>
            <w:sz w:val="22"/>
          </w:rPr>
          <w:t>192.107</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194.1</w:t>
        </w:r>
      </w:hyperlink>
      <w:r>
        <w:rPr>
          <w:rFonts w:ascii="Times New Roman" w:hAnsi="Times New Roman"/>
          <w:b w:val="false"/>
          <w:i w:val="false"/>
          <w:color w:val="000000"/>
          <w:sz w:val="22"/>
        </w:rPr>
        <w:t>, and have a milk or milk products permit issued by the department of agriculture and land stewardship.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Premises or operations that are exclusively engaged in the production of shell eggs, are regulated by Iowa Code section </w:t>
      </w:r>
      <w:hyperlink r:id="rId30">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and have an egg handler’s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Premises or operations that are exclusively engaged in the preparation or processing of Siluriformes, including catfish, and are regulated and inspected by the United States Department of Agriculture under a federal grant of inspection.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Premises that are a home food processing establishment pursuant to Iowa Code chapter </w:t>
      </w:r>
      <w:hyperlink r:id="rId31">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Premises or operations that are exclusively engaged in the production or processing of egg products, as defined in 9 CFR Part 590 as amended to March 11, 2026, including egg substitutes and freeze-dried egg products, and are regulated and inspected by the United States Department of Agriculture under a federal grant of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 service establishment”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food establishment where food is prepared or served for individual portion service intended for consumption on the premises or is subject to Iowa sales tax as provided in Iowa Code section </w:t>
      </w:r>
      <w:hyperlink r:id="rId32">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“Hotel”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3">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food unit”</w:t>
      </w:r>
      <w:r>
        <w:rPr>
          <w:rFonts w:ascii="Times New Roman" w:hAnsi="Times New Roman"/>
          <w:b w:val="false"/>
          <w:i w:val="false"/>
          <w:color w:val="000000"/>
          <w:sz w:val="22"/>
        </w:rPr>
        <w:t> </w:t>
      </w:r>
      <w:r>
        <w:rPr>
          <w:rFonts w:ascii="Times New Roman" w:hAnsi="Times New Roman"/>
          <w:b w:val="false"/>
          <w:i w:val="false"/>
          <w:color w:val="000000"/>
          <w:sz w:val="22"/>
        </w:rPr>
        <w:t>means a food establishment that is self-contained, with the exception of grills and smokers, and readily movable, which either operates up to three consecutive days at one location or returns to a home base of operation at the end of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“Patrol dog”</w:t>
      </w:r>
      <w:r>
        <w:rPr>
          <w:rFonts w:ascii="Times New Roman" w:hAnsi="Times New Roman"/>
          <w:b w:val="false"/>
          <w:i w:val="false"/>
          <w:color w:val="000000"/>
          <w:sz w:val="22"/>
        </w:rPr>
        <w:t> </w:t>
      </w:r>
      <w:r>
        <w:rPr>
          <w:rFonts w:ascii="Times New Roman" w:hAnsi="Times New Roman"/>
          <w:b w:val="false"/>
          <w:i w:val="false"/>
          <w:color w:val="000000"/>
          <w:sz w:val="22"/>
        </w:rPr>
        <w:t>means a dog that is accompanying a law enforcement officer or security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chef”</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“hired cook”</w:t>
      </w:r>
      <w:r>
        <w:rPr>
          <w:rFonts w:ascii="Times New Roman" w:hAnsi="Times New Roman"/>
          <w:b w:val="false"/>
          <w:i w:val="false"/>
          <w:color w:val="000000"/>
          <w:sz w:val="22"/>
        </w:rPr>
        <w:t> </w:t>
      </w:r>
      <w:r>
        <w:rPr>
          <w:rFonts w:ascii="Times New Roman" w:hAnsi="Times New Roman"/>
          <w:b w:val="false"/>
          <w:i w:val="false"/>
          <w:color w:val="000000"/>
          <w:sz w:val="22"/>
        </w:rPr>
        <w:t>means a person who provides food preparation services in a private home or at a private party for a client and the client’s nonpaying guests. “Personal chef” or “hired cook” does not include a person who provides the ingredients intended to be used in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 dog”</w:t>
      </w:r>
      <w:r>
        <w:rPr>
          <w:rFonts w:ascii="Times New Roman" w:hAnsi="Times New Roman"/>
          <w:b w:val="false"/>
          <w:i w:val="false"/>
          <w:color w:val="000000"/>
          <w:sz w:val="22"/>
        </w:rPr>
        <w:t> </w:t>
      </w:r>
      <w:r>
        <w:rPr>
          <w:rFonts w:ascii="Times New Roman" w:hAnsi="Times New Roman"/>
          <w:b w:val="false"/>
          <w:i w:val="false"/>
          <w:color w:val="000000"/>
          <w:sz w:val="22"/>
        </w:rPr>
        <w:t>means a dog that does not meet the definition of a patrol dog or a service animal as defined in 28 CFR Part 36 as amended to March 11,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“Processed food”</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21 U.S.C. 321 as amended to March 11,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“Pushcart”</w:t>
      </w:r>
      <w:r>
        <w:rPr>
          <w:rFonts w:ascii="Times New Roman" w:hAnsi="Times New Roman"/>
          <w:b w:val="false"/>
          <w:i w:val="false"/>
          <w:color w:val="000000"/>
          <w:sz w:val="22"/>
        </w:rPr>
        <w:t> </w:t>
      </w:r>
      <w:r>
        <w:rPr>
          <w:rFonts w:ascii="Times New Roman" w:hAnsi="Times New Roman"/>
          <w:b w:val="false"/>
          <w:i w:val="false"/>
          <w:color w:val="000000"/>
          <w:sz w:val="22"/>
        </w:rPr>
        <w:t>means a non-self-propelled vehicle food establishment limited to serving foods that are not time/temperature control for safety foods or commissary-wrapped foods maintained at proper temperatures or precooked foods that require limited assembly, such as frankfurters.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“Raw agricultural commodity”</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21 U.S.C. 321 as amended to March 11,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“Retail food establishment”</w:t>
      </w:r>
      <w:r>
        <w:rPr>
          <w:rFonts w:ascii="Times New Roman" w:hAnsi="Times New Roman"/>
          <w:b w:val="false"/>
          <w:i w:val="false"/>
          <w:color w:val="000000"/>
          <w:sz w:val="22"/>
        </w:rPr>
        <w:t> </w:t>
      </w:r>
      <w:r>
        <w:rPr>
          <w:rFonts w:ascii="Times New Roman" w:hAnsi="Times New Roman"/>
          <w:b w:val="false"/>
          <w:i w:val="false"/>
          <w:color w:val="000000"/>
          <w:sz w:val="22"/>
        </w:rPr>
        <w:t>means a food establishment that sells to consumer customers food or food products intended for preparation or consumption off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 operated by a minor”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4">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food establishment”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5">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“Time/temperature control for safety food”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6">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“Transient guest”</w:t>
      </w:r>
      <w:r>
        <w:rPr>
          <w:rFonts w:ascii="Times New Roman" w:hAnsi="Times New Roman"/>
          <w:b w:val="false"/>
          <w:i w:val="false"/>
          <w:color w:val="000000"/>
          <w:sz w:val="22"/>
        </w:rPr>
        <w:t> </w:t>
      </w:r>
      <w:r>
        <w:rPr>
          <w:rFonts w:ascii="Times New Roman" w:hAnsi="Times New Roman"/>
          <w:b w:val="false"/>
          <w:i w:val="false"/>
          <w:color w:val="000000"/>
          <w:sz w:val="22"/>
        </w:rPr>
        <w:t>means an overnight lodging guest who does not intend to stay for any permanent length of time. Any guest who rents a room for more than 31 consecutive days is presumed not to be a transient guest.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“Unattended food establishment”</w:t>
      </w:r>
      <w:r>
        <w:rPr>
          <w:rFonts w:ascii="Times New Roman" w:hAnsi="Times New Roman"/>
          <w:b w:val="false"/>
          <w:i w:val="false"/>
          <w:color w:val="000000"/>
          <w:sz w:val="22"/>
        </w:rPr>
        <w:t> </w:t>
      </w:r>
      <w:r>
        <w:rPr>
          <w:rFonts w:ascii="Times New Roman" w:hAnsi="Times New Roman"/>
          <w:b w:val="false"/>
          <w:i w:val="false"/>
          <w:color w:val="000000"/>
          <w:sz w:val="22"/>
        </w:rPr>
        <w:t>means an operation that provides packaged foods or whole fruit using an automated payment system and has controlled entry not accessible by the general public. “Controlled entry,” for the purposes of the definition of “unattended food establishment,” means selective restriction or limitation of access to a place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“Unprocessed commodity”</w:t>
      </w:r>
      <w:r>
        <w:rPr>
          <w:rFonts w:ascii="Times New Roman" w:hAnsi="Times New Roman"/>
          <w:b w:val="false"/>
          <w:i w:val="false"/>
          <w:color w:val="000000"/>
          <w:sz w:val="22"/>
        </w:rPr>
        <w:t> </w:t>
      </w:r>
      <w:r>
        <w:rPr>
          <w:rFonts w:ascii="Times New Roman" w:hAnsi="Times New Roman"/>
          <w:b w:val="false"/>
          <w:i w:val="false"/>
          <w:color w:val="000000"/>
          <w:sz w:val="22"/>
        </w:rPr>
        <w:t>means a raw agricultural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“Vending”</w:t>
      </w:r>
      <w:r>
        <w:rPr>
          <w:rFonts w:ascii="Times New Roman" w:hAnsi="Times New Roman"/>
          <w:b w:val="false"/>
          <w:i w:val="false"/>
          <w:color w:val="000000"/>
          <w:sz w:val="22"/>
        </w:rPr>
        <w:t> </w:t>
      </w:r>
      <w:r>
        <w:rPr>
          <w:rFonts w:ascii="Times New Roman" w:hAnsi="Times New Roman"/>
          <w:b w:val="false"/>
          <w:i w:val="false"/>
          <w:color w:val="000000"/>
          <w:sz w:val="22"/>
        </w:rPr>
        <w:t>means selling or dispensing food to an individual consumer customer. Vending does not include catering.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“Vending machine”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Vending machines that dispense only prepackaged foods that are not time/temperature control for safety foods, panned candies, gumballs or nuts are exempt from licensing but may be inspected by the department upon receipt of a written complaint. “Panned candies” are those with a fine, hard coating on the outside and a soft candy filling on the inside. Panned candies are easily dispensed by a gumball-type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“Vending machine location”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8">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“Wild-harvested mushroom”</w:t>
      </w:r>
      <w:r>
        <w:rPr>
          <w:rFonts w:ascii="Times New Roman" w:hAnsi="Times New Roman"/>
          <w:b w:val="false"/>
          <w:i w:val="false"/>
          <w:color w:val="000000"/>
          <w:sz w:val="22"/>
        </w:rPr>
        <w:t> </w:t>
      </w:r>
      <w:r>
        <w:rPr>
          <w:rFonts w:ascii="Times New Roman" w:hAnsi="Times New Roman"/>
          <w:b w:val="false"/>
          <w:i w:val="false"/>
          <w:color w:val="000000"/>
          <w:sz w:val="22"/>
        </w:rPr>
        <w:t>means a fresh mushroom that has been found or foraged in the natural environment and has not been processed (e.g., dried or frozen). “Wild-harvested mushroom” does not include cultivated mushrooms or mushrooms that have been packaged in an approved food processing plant.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481—30.3</w:t>
      </w:r>
      <w:r>
        <w:rPr>
          <w:rFonts w:ascii="Times New Roman" w:hAnsi="Times New Roman"/>
          <w:b/>
          <w:i w:val="false"/>
          <w:color w:val="000000"/>
          <w:sz w:val="22"/>
        </w:rPr>
        <w:t xml:space="preserve">(137C,137F) </w:t>
      </w:r>
      <w:r>
        <w:rPr>
          <w:rFonts w:ascii="Times New Roman" w:hAnsi="Times New Roman"/>
          <w:b/>
          <w:i w:val="false"/>
          <w:color w:val="000000"/>
          <w:sz w:val="22"/>
        </w:rPr>
        <w:t xml:space="preserve">Licensing and postings. </w:t>
      </w:r>
      <w:r>
        <w:rPr>
          <w:rFonts w:ascii="Times New Roman" w:hAnsi="Times New Roman"/>
          <w:b w:val="false"/>
          <w:i w:val="false"/>
          <w:color w:val="000000"/>
          <w:sz w:val="22"/>
        </w:rPr>
        <w:t>Applications for a license shall be completed using the department’s online application system at least 30 days prior to the anticipated opening of the hotel, food establishment or food processing plant. If extenuating circumstances exist that prevent the applicant from completing the online application, paper applications are available from the department or its contractors. Temporary food establishment license applications shall be submitted a minimum of three business days prior to opening.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 xml:space="preserve">A license is not transferable to a new owner or location. Any change in business ownership or business location requires a new license. Vending machines, mobile food units and pushcarts may be moved without obtaining a new license. A farmers market time/temperature control for safety food license or an annual temporary event food establishment license may be used at different locations without obtaining a new license. If the different locations are operated simultaneously, a separate license is required for each location. Nutrition sites for the elderly licensed under Iowa Code chapter </w:t>
      </w:r>
      <w:hyperlink r:id="rId3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may change locations in the same city without obtaining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License fees are refundable only if the license is surrendered to the department prior to the effective date of the license and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fees of $67.50 or less are an application processing fee and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inspection has not occurred, license fees of more than $67.50 will be refunded less the $67.50.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inspection has occurred, the entire license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color w:val="000000"/>
          <w:sz w:val="22"/>
        </w:rPr>
        <w:t xml:space="preserve">License expiration. </w:t>
      </w:r>
      <w:r>
        <w:rPr>
          <w:rFonts w:ascii="Times New Roman" w:hAnsi="Times New Roman"/>
          <w:b w:val="false"/>
          <w:i w:val="false"/>
          <w:color w:val="000000"/>
          <w:sz w:val="22"/>
        </w:rPr>
        <w:t>A license is renewable and expires after one year, with the exception of a temporary food establishment license issued in conjunction with a single event at a specific location, which is valid for a period not to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w:t>
      </w:r>
      <w:r>
        <w:rPr>
          <w:rFonts w:ascii="Times New Roman" w:hAnsi="Times New Roman"/>
          <w:b w:val="false"/>
          <w:i w:val="false"/>
          <w:color w:val="000000"/>
          <w:sz w:val="22"/>
        </w:rPr>
        <w:t> </w:t>
      </w:r>
      <w:r>
        <w:rPr>
          <w:rFonts w:ascii="Times New Roman" w:hAnsi="Times New Roman"/>
          <w:b w:val="false"/>
          <w:i/>
          <w:color w:val="000000"/>
          <w:sz w:val="22"/>
        </w:rPr>
        <w:t xml:space="preserve">Posting of inspection reports, licenses, and registration tags. </w:t>
      </w:r>
      <w:r>
        <w:rPr>
          <w:rFonts w:ascii="Times New Roman" w:hAnsi="Times New Roman"/>
          <w:b w:val="false"/>
          <w:i w:val="false"/>
          <w:color w:val="000000"/>
          <w:sz w:val="22"/>
        </w:rPr>
        <w:t>A valid license and the most recent inspection report, along with any current complaint or reinspection reports, shall be posted no higher than eye level where the public can see them and not be posted in such a manner that the public cannot reasonably read the report. Reports may be posted in paper form or through a QR code provided on the license. A paper report must be available upon request. The posting of a report behind a service area where the report can be seen but not easily read is not allowed. Vending machines shall bear a tag to affirm the license. For the purpose of this subrule, only founded complaint reports are considered complaints and shall be posted until either the mail-in recheck form has been submitted to the regulatory authority or a recheck inspection has been conducted to verify that the violations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gross sales. </w:t>
      </w:r>
      <w:r>
        <w:rPr>
          <w:rFonts w:ascii="Times New Roman" w:hAnsi="Times New Roman"/>
          <w:b w:val="false"/>
          <w:i w:val="false"/>
          <w:color w:val="000000"/>
          <w:sz w:val="22"/>
        </w:rPr>
        <w:t xml:space="preserve">Documentation of the annual gross sales of food and drink sold by a licensed food establishment or a licensed food processing plant is required unless the establishment is paying the highest license fee required by rule </w:t>
      </w:r>
      <w:hyperlink r:id="rId40">
        <w:r>
          <w:rPr>
            <w:rStyle w:val="Hyperlink"/>
            <w:rFonts w:ascii="Times New Roman" w:hAnsi="Times New Roman"/>
            <w:b w:val="false"/>
            <w:i w:val="false"/>
            <w:color w:val="000000"/>
            <w:sz w:val="22"/>
          </w:rPr>
          <w:t>481—30.4</w:t>
        </w:r>
      </w:hyperlink>
      <w:r>
        <w:rPr>
          <w:rFonts w:ascii="Times New Roman" w:hAnsi="Times New Roman"/>
          <w:b w:val="false"/>
          <w:i w:val="false"/>
          <w:color w:val="000000"/>
          <w:sz w:val="22"/>
        </w:rPr>
        <w:t>(137C,137F). Documentation will be kept confidential and will be used to verify that the license holder is paying the appropriate license fee based on annual gross sales of food and drink. For food processing plants that are food storage facilities and food establishments whose sales are included in a single rate with lodging or other services, the value of the food handled should be used. Documentation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firm’s business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Quarterly sales tax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from an independent tax preparer;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appropriate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30.3(6)</w:t>
      </w:r>
      <w:r>
        <w:rPr>
          <w:rFonts w:ascii="Times New Roman" w:hAnsi="Times New Roman"/>
          <w:b w:val="false"/>
          <w:i w:val="false"/>
          <w:color w:val="000000"/>
          <w:sz w:val="22"/>
        </w:rPr>
        <w:t> </w:t>
      </w:r>
      <w:r>
        <w:rPr>
          <w:rFonts w:ascii="Times New Roman" w:hAnsi="Times New Roman"/>
          <w:b w:val="false"/>
          <w:i/>
          <w:color w:val="000000"/>
          <w:sz w:val="22"/>
        </w:rPr>
        <w:t xml:space="preserve">License eligibility for renewal limited to 60 days after expiration. </w:t>
      </w:r>
      <w:r>
        <w:rPr>
          <w:rFonts w:ascii="Times New Roman" w:hAnsi="Times New Roman"/>
          <w:b w:val="false"/>
          <w:i w:val="false"/>
          <w:color w:val="000000"/>
          <w:sz w:val="22"/>
        </w:rPr>
        <w:t>A delinquent license will only be renewed if application for renewal is made within 60 days of expiration. If a delinquent license is not renewed within 60 days, an establishment must apply for a new license and meet all the requirements for licensure. Establishments that have not renewed the license within 60 days will be closed by the department or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481—30.4</w:t>
      </w:r>
      <w:r>
        <w:rPr>
          <w:rFonts w:ascii="Times New Roman" w:hAnsi="Times New Roman"/>
          <w:b/>
          <w:i w:val="false"/>
          <w:color w:val="000000"/>
          <w:sz w:val="22"/>
        </w:rPr>
        <w:t xml:space="preserve">(137C,137F) </w:t>
      </w:r>
      <w:r>
        <w:rPr>
          <w:rFonts w:ascii="Times New Roman" w:hAnsi="Times New Roman"/>
          <w:b/>
          <w:i w:val="false"/>
          <w:color w:val="000000"/>
          <w:sz w:val="22"/>
        </w:rPr>
        <w:t xml:space="preserve">License fees. </w:t>
      </w:r>
      <w:r>
        <w:rPr>
          <w:rFonts w:ascii="Times New Roman" w:hAnsi="Times New Roman"/>
          <w:b w:val="false"/>
          <w:i w:val="false"/>
          <w:color w:val="000000"/>
          <w:sz w:val="22"/>
        </w:rPr>
        <w:t xml:space="preserve">License fees are set by Iowa Code chapters </w:t>
      </w:r>
      <w:hyperlink r:id="rId4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The license fee is the same for an initial license and a renewal license. The department will charge a voluntary inspection fee of $100 when a premises that is not a food establishment requests a voluntary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481—30.5</w:t>
      </w:r>
      <w:r>
        <w:rPr>
          <w:rFonts w:ascii="Times New Roman" w:hAnsi="Times New Roman"/>
          <w:b/>
          <w:i w:val="false"/>
          <w:color w:val="000000"/>
          <w:sz w:val="22"/>
        </w:rPr>
        <w:t xml:space="preserve">(137F) </w:t>
      </w:r>
      <w:r>
        <w:rPr>
          <w:rFonts w:ascii="Times New Roman" w:hAnsi="Times New Roman"/>
          <w:b/>
          <w:i w:val="false"/>
          <w:color w:val="000000"/>
          <w:sz w:val="22"/>
        </w:rPr>
        <w:t xml:space="preserve">Penalty and delinquent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color w:val="000000"/>
          <w:sz w:val="22"/>
        </w:rPr>
        <w:t xml:space="preserve">Late penalty. </w:t>
      </w:r>
      <w:r>
        <w:rPr>
          <w:rFonts w:ascii="Times New Roman" w:hAnsi="Times New Roman"/>
          <w:b w:val="false"/>
          <w:i w:val="false"/>
          <w:color w:val="000000"/>
          <w:sz w:val="22"/>
        </w:rPr>
        <w:t xml:space="preserve">Renewals submitted after the license expiration are subject to a penalty of 10 percent of the license fee per month in accordance with Iowa Code section </w:t>
      </w:r>
      <w:hyperlink r:id="rId43">
        <w:r>
          <w:rPr>
            <w:rStyle w:val="Hyperlink"/>
            <w:rFonts w:ascii="Times New Roman" w:hAnsi="Times New Roman"/>
            <w:b w:val="false"/>
            <w:i w:val="false"/>
            <w:color w:val="000000"/>
            <w:sz w:val="22"/>
          </w:rPr>
          <w:t>137F.4</w:t>
        </w:r>
      </w:hyperlink>
      <w:r>
        <w:rPr>
          <w:rFonts w:ascii="Times New Roman" w:hAnsi="Times New Roman"/>
          <w:b w:val="false"/>
          <w:i w:val="false"/>
          <w:color w:val="000000"/>
          <w:sz w:val="22"/>
        </w:rPr>
        <w:t xml:space="preserve">. A license will only be renewed if the license holder has provided documentation pursuant to subrule </w:t>
      </w:r>
      <w:hyperlink r:id="rId44">
        <w:r>
          <w:rPr>
            <w:rStyle w:val="Hyperlink"/>
            <w:rFonts w:ascii="Times New Roman" w:hAnsi="Times New Roman"/>
            <w:b w:val="false"/>
            <w:i w:val="false"/>
            <w:color w:val="000000"/>
            <w:sz w:val="22"/>
          </w:rPr>
          <w:t>30.3(5)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color w:val="000000"/>
          <w:sz w:val="22"/>
        </w:rPr>
        <w:t xml:space="preserve">Penalty for opening or operating without a license. </w:t>
      </w:r>
      <w:r>
        <w:rPr>
          <w:rFonts w:ascii="Times New Roman" w:hAnsi="Times New Roman"/>
          <w:b w:val="false"/>
          <w:i w:val="false"/>
          <w:color w:val="000000"/>
          <w:sz w:val="22"/>
        </w:rPr>
        <w:t xml:space="preserve">Operating without a license is subject to a penalty of up to twice the amount of the annual license fee in accordance with Iowa Code section </w:t>
      </w:r>
      <w:hyperlink r:id="rId45">
        <w:r>
          <w:rPr>
            <w:rStyle w:val="Hyperlink"/>
            <w:rFonts w:ascii="Times New Roman" w:hAnsi="Times New Roman"/>
            <w:b w:val="false"/>
            <w:i w:val="false"/>
            <w:color w:val="000000"/>
            <w:sz w:val="22"/>
          </w:rPr>
          <w:t>137F.9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481—30.6</w:t>
      </w:r>
      <w:r>
        <w:rPr>
          <w:rFonts w:ascii="Times New Roman" w:hAnsi="Times New Roman"/>
          <w:b/>
          <w:i w:val="false"/>
          <w:color w:val="000000"/>
          <w:sz w:val="22"/>
        </w:rPr>
        <w:t xml:space="preserve">(137C,137F)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If a check intended to pay for any license provided for under Iowa Code chapter </w:t>
      </w:r>
      <w:hyperlink r:id="rId46">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is not honored for payment, the department will attempt to redeem the check and notify the applicant of the need to provide sufficient payment. An additional fee of $25 will be assessed for each dishonored check. If the department does not receive payment, the establishment will be operating without a valid license. Late penalties assessed pursuant to rule </w:t>
      </w:r>
      <w:hyperlink r:id="rId48">
        <w:r>
          <w:rPr>
            <w:rStyle w:val="Hyperlink"/>
            <w:rFonts w:ascii="Times New Roman" w:hAnsi="Times New Roman"/>
            <w:b w:val="false"/>
            <w:i w:val="false"/>
            <w:color w:val="000000"/>
            <w:sz w:val="22"/>
          </w:rPr>
          <w:t>481—30.5</w:t>
        </w:r>
      </w:hyperlink>
      <w:r>
        <w:rPr>
          <w:rFonts w:ascii="Times New Roman" w:hAnsi="Times New Roman"/>
          <w:b w:val="false"/>
          <w:i w:val="false"/>
          <w:color w:val="000000"/>
          <w:sz w:val="22"/>
        </w:rPr>
        <w:t>(137F) will accrue and must be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481—30.7</w:t>
      </w:r>
      <w:r>
        <w:rPr>
          <w:rFonts w:ascii="Times New Roman" w:hAnsi="Times New Roman"/>
          <w:b/>
          <w:i w:val="false"/>
          <w:color w:val="000000"/>
          <w:sz w:val="22"/>
        </w:rPr>
        <w:t xml:space="preserve">(137F) </w:t>
      </w:r>
      <w:r>
        <w:rPr>
          <w:rFonts w:ascii="Times New Roman" w:hAnsi="Times New Roman"/>
          <w:b/>
          <w:i w:val="false"/>
          <w:color w:val="000000"/>
          <w:sz w:val="22"/>
        </w:rPr>
        <w:t xml:space="preserve">Double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30.7(1)</w:t>
      </w:r>
      <w:r>
        <w:rPr>
          <w:rFonts w:ascii="Times New Roman" w:hAnsi="Times New Roman"/>
          <w:b w:val="false"/>
          <w:i w:val="false"/>
          <w:color w:val="000000"/>
          <w:sz w:val="22"/>
        </w:rPr>
        <w:t> </w:t>
      </w:r>
      <w:r>
        <w:rPr>
          <w:rFonts w:ascii="Times New Roman" w:hAnsi="Times New Roman"/>
          <w:b w:val="false"/>
          <w:i w:val="false"/>
          <w:color w:val="000000"/>
          <w:sz w:val="22"/>
        </w:rPr>
        <w:t>Any establishment that holds a food service establishment license and has gross sales over $20,000 annually in packaged food items intended for consumption off the premises is also required to obtain a retail food establishment license. The license holder shall keep a record of these food sales and make it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30.7(2)</w:t>
      </w:r>
      <w:r>
        <w:rPr>
          <w:rFonts w:ascii="Times New Roman" w:hAnsi="Times New Roman"/>
          <w:b w:val="false"/>
          <w:i w:val="false"/>
          <w:color w:val="000000"/>
          <w:sz w:val="22"/>
        </w:rPr>
        <w:t> </w:t>
      </w:r>
      <w:r>
        <w:rPr>
          <w:rFonts w:ascii="Times New Roman" w:hAnsi="Times New Roman"/>
          <w:b w:val="false"/>
          <w:i w:val="false"/>
          <w:color w:val="000000"/>
          <w:sz w:val="22"/>
        </w:rPr>
        <w:t>Licensed retail food establishments serving only coffee, soft drinks, popcorn, prepackaged sandwiches or other food items manufactured and packaged by a licensed establishment only need a retail food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30.7(3)</w:t>
      </w:r>
      <w:r>
        <w:rPr>
          <w:rFonts w:ascii="Times New Roman" w:hAnsi="Times New Roman"/>
          <w:b w:val="false"/>
          <w:i w:val="false"/>
          <w:color w:val="000000"/>
          <w:sz w:val="22"/>
        </w:rPr>
        <w:t> </w:t>
      </w:r>
      <w:r>
        <w:rPr>
          <w:rFonts w:ascii="Times New Roman" w:hAnsi="Times New Roman"/>
          <w:b w:val="false"/>
          <w:i w:val="false"/>
          <w:color w:val="000000"/>
          <w:sz w:val="22"/>
        </w:rPr>
        <w:t>A food establishment that holds both a food service establishment license and a retail food establishment license shall pay a license fee based on the annual gross sales for the dominant form of business plus $150.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food establishment holds a food service establishment license and a retail food establishment license. It has annual gross sales of more than $750,000 for its retail food establishment and $120,000 for its food service establishment. The food establishment pays a license fee of $400 for its retail food establishment license (Iowa Code section </w:t>
      </w:r>
      <w:hyperlink r:id="rId49">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 and $150 for its food service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w:t>
      </w:r>
      <w:r>
        <w:rPr>
          <w:rFonts w:ascii="Times New Roman" w:hAnsi="Times New Roman"/>
          <w:b w:val="false"/>
          <w:i w:val="false"/>
          <w:color w:val="000000"/>
          <w:sz w:val="22"/>
        </w:rPr>
        <w:t> </w:t>
      </w:r>
      <w:r>
        <w:rPr>
          <w:rFonts w:ascii="Times New Roman" w:hAnsi="Times New Roman"/>
          <w:b w:val="false"/>
          <w:i w:val="false"/>
          <w:color w:val="000000"/>
          <w:sz w:val="22"/>
        </w:rPr>
        <w:t>The business with higher annual gross sales determines the type of license for establishments that engage in operations covered under both the definition of a food establishment and of a food processing plant. Food establishments that process low-acid food in hermetically sealed containers or process acidified foods are required to have a food processing plant license in addition to the food establishment license. Regardless of the type of license, food processing plants will be inspected pursuant to food processing inspection standards and food establishments will be inspected pursuant to the Food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481—30.8</w:t>
      </w:r>
      <w:r>
        <w:rPr>
          <w:rFonts w:ascii="Times New Roman" w:hAnsi="Times New Roman"/>
          <w:b/>
          <w:i w:val="false"/>
          <w:color w:val="000000"/>
          <w:sz w:val="22"/>
        </w:rPr>
        <w:t xml:space="preserve">(137C,137F) </w:t>
      </w:r>
      <w:r>
        <w:rPr>
          <w:rFonts w:ascii="Times New Roman" w:hAnsi="Times New Roman"/>
          <w:b/>
          <w:i w:val="false"/>
          <w:color w:val="000000"/>
          <w:sz w:val="22"/>
        </w:rPr>
        <w:t xml:space="preserve">Inspection frequency. </w:t>
      </w:r>
      <w:r>
        <w:rPr>
          <w:rFonts w:ascii="Times New Roman" w:hAnsi="Times New Roman"/>
          <w:b w:val="false"/>
          <w:i w:val="false"/>
          <w:color w:val="000000"/>
          <w:sz w:val="22"/>
        </w:rPr>
        <w:t>Inspections are based on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w:t>
      </w:r>
      <w:r>
        <w:rPr>
          <w:rFonts w:ascii="Times New Roman" w:hAnsi="Times New Roman"/>
          <w:b w:val="false"/>
          <w:i w:val="false"/>
          <w:color w:val="000000"/>
          <w:sz w:val="22"/>
        </w:rPr>
        <w:t> </w:t>
      </w:r>
      <w:r>
        <w:rPr>
          <w:rFonts w:ascii="Times New Roman" w:hAnsi="Times New Roman"/>
          <w:b w:val="false"/>
          <w:i/>
          <w:color w:val="000000"/>
          <w:sz w:val="22"/>
        </w:rPr>
        <w:t xml:space="preserve">Food establishments. </w:t>
      </w:r>
      <w:r>
        <w:rPr>
          <w:rFonts w:ascii="Times New Roman" w:hAnsi="Times New Roman"/>
          <w:b w:val="false"/>
          <w:i w:val="false"/>
          <w:color w:val="000000"/>
          <w:sz w:val="22"/>
        </w:rPr>
        <w:t>Food establishments will have routine inspections at least once every 60 months. Very low risk food establishments will not have a routine inspection frequency.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30.8(2)</w:t>
      </w: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plants. </w:t>
      </w:r>
      <w:r>
        <w:rPr>
          <w:rFonts w:ascii="Times New Roman" w:hAnsi="Times New Roman"/>
          <w:b w:val="false"/>
          <w:i w:val="false"/>
          <w:color w:val="000000"/>
          <w:sz w:val="22"/>
        </w:rPr>
        <w:t>Food processing plants that process foods will have routine inspections at least once every 60 months. If the United States Food and Drug Administration completes an inspection in a facility, the inspection satisfies the state inspection frequency.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30.8(3)</w:t>
      </w: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plants that store foods. </w:t>
      </w:r>
      <w:r>
        <w:rPr>
          <w:rFonts w:ascii="Times New Roman" w:hAnsi="Times New Roman"/>
          <w:b w:val="false"/>
          <w:i w:val="false"/>
          <w:color w:val="000000"/>
          <w:sz w:val="22"/>
        </w:rPr>
        <w:t>Food processing plants that store foods will be inspected at least once every 84 months. If the United States Food and Drug Administration completes an inspection in a facility, the inspection satisfies the state inspection frequency. Very low risk food processing plants that store food will not have a routine inspection frequency.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30.8(4)</w:t>
      </w:r>
      <w:r>
        <w:rPr>
          <w:rFonts w:ascii="Times New Roman" w:hAnsi="Times New Roman"/>
          <w:b w:val="false"/>
          <w:i w:val="false"/>
          <w:color w:val="000000"/>
          <w:sz w:val="22"/>
        </w:rPr>
        <w:t> </w:t>
      </w:r>
      <w:r>
        <w:rPr>
          <w:rFonts w:ascii="Times New Roman" w:hAnsi="Times New Roman"/>
          <w:b w:val="false"/>
          <w:i/>
          <w:color w:val="000000"/>
          <w:sz w:val="22"/>
        </w:rPr>
        <w:t xml:space="preserve">Hotels. </w:t>
      </w:r>
      <w:r>
        <w:rPr>
          <w:rFonts w:ascii="Times New Roman" w:hAnsi="Times New Roman"/>
          <w:b w:val="false"/>
          <w:i w:val="false"/>
          <w:color w:val="000000"/>
          <w:sz w:val="22"/>
        </w:rPr>
        <w:t xml:space="preserve">Hotels will be inspected in accordance with Iowa Code chapter </w:t>
      </w:r>
      <w:hyperlink r:id="rId50">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30.8(5)</w:t>
      </w:r>
      <w:r>
        <w:rPr>
          <w:rFonts w:ascii="Times New Roman" w:hAnsi="Times New Roman"/>
          <w:b w:val="false"/>
          <w:i w:val="false"/>
          <w:color w:val="000000"/>
          <w:sz w:val="22"/>
        </w:rPr>
        <w:t> </w:t>
      </w:r>
      <w:r>
        <w:rPr>
          <w:rFonts w:ascii="Times New Roman" w:hAnsi="Times New Roman"/>
          <w:b w:val="false"/>
          <w:i/>
          <w:color w:val="000000"/>
          <w:sz w:val="22"/>
        </w:rPr>
        <w:t xml:space="preserve">Farmers market time/temperature control for safety food. </w:t>
      </w:r>
      <w:r>
        <w:rPr>
          <w:rFonts w:ascii="Times New Roman" w:hAnsi="Times New Roman"/>
          <w:b w:val="false"/>
          <w:i w:val="false"/>
          <w:color w:val="000000"/>
          <w:sz w:val="22"/>
        </w:rPr>
        <w:t>Farmers market time/temperature control for safety food licensees will be inspected based on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30.8(6)</w:t>
      </w:r>
      <w:r>
        <w:rPr>
          <w:rFonts w:ascii="Times New Roman" w:hAnsi="Times New Roman"/>
          <w:b w:val="false"/>
          <w:i w:val="false"/>
          <w:color w:val="000000"/>
          <w:sz w:val="22"/>
        </w:rPr>
        <w:t> </w:t>
      </w:r>
      <w:r>
        <w:rPr>
          <w:rFonts w:ascii="Times New Roman" w:hAnsi="Times New Roman"/>
          <w:b w:val="false"/>
          <w:i/>
          <w:color w:val="000000"/>
          <w:sz w:val="22"/>
        </w:rPr>
        <w:t xml:space="preserve">Temporary food establishments. </w:t>
      </w:r>
      <w:r>
        <w:rPr>
          <w:rFonts w:ascii="Times New Roman" w:hAnsi="Times New Roman"/>
          <w:b w:val="false"/>
          <w:i w:val="false"/>
          <w:color w:val="000000"/>
          <w:sz w:val="22"/>
        </w:rPr>
        <w:t>Temporary food establishments issued an annual license will be inspected based on risk.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481—30.9</w:t>
      </w:r>
      <w:r>
        <w:rPr>
          <w:rFonts w:ascii="Times New Roman" w:hAnsi="Times New Roman"/>
          <w:b/>
          <w:i w:val="false"/>
          <w:color w:val="000000"/>
          <w:sz w:val="22"/>
        </w:rPr>
        <w:t xml:space="preserve">(22) </w:t>
      </w:r>
      <w:r>
        <w:rPr>
          <w:rFonts w:ascii="Times New Roman" w:hAnsi="Times New Roman"/>
          <w:b/>
          <w:i w:val="false"/>
          <w:color w:val="000000"/>
          <w:sz w:val="22"/>
        </w:rPr>
        <w:t xml:space="preserve">Examination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Information collected by the food and consumer safety bureau and contractors is generally considered public information pursuant to Iowa Code chapter </w:t>
      </w:r>
      <w:hyperlink r:id="rId5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Records are stored in computer files and are not matched with any other data system. Inspection reports are available at </w:t>
      </w:r>
      <w:hyperlink r:id="rId52">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Requests for records of other state or federal agencies will be referred to the appropriate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Certain records are confidential,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Trade secrets and proprietary information, including items such as formulations, processes, policies and procedures, and customer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information related to foodborne illness complaints and outbreaks;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any identifying information of a person who files a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481—30.10</w:t>
      </w:r>
      <w:r>
        <w:rPr>
          <w:rFonts w:ascii="Times New Roman" w:hAnsi="Times New Roman"/>
          <w:b/>
          <w:i w:val="false"/>
          <w:color w:val="000000"/>
          <w:sz w:val="22"/>
        </w:rPr>
        <w:t xml:space="preserve">(17A,137C,137F) </w:t>
      </w:r>
      <w:r>
        <w:rPr>
          <w:rFonts w:ascii="Times New Roman" w:hAnsi="Times New Roman"/>
          <w:b/>
          <w:i w:val="false"/>
          <w:color w:val="000000"/>
          <w:sz w:val="22"/>
        </w:rPr>
        <w:t xml:space="preserve">Denial, suspension, or revocation of a license to operate. </w:t>
      </w:r>
      <w:r>
        <w:rPr>
          <w:rFonts w:ascii="Times New Roman" w:hAnsi="Times New Roman"/>
          <w:b w:val="false"/>
          <w:i w:val="false"/>
          <w:color w:val="000000"/>
          <w:sz w:val="22"/>
        </w:rPr>
        <w:t>A license denial, suspension or revocation is effective 30 days after mailing or personal service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30.10(1)</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license. </w:t>
      </w:r>
      <w:r>
        <w:rPr>
          <w:rFonts w:ascii="Times New Roman" w:hAnsi="Times New Roman"/>
          <w:b w:val="false"/>
          <w:i w:val="false"/>
          <w:color w:val="000000"/>
          <w:sz w:val="22"/>
        </w:rPr>
        <w:t xml:space="preserve">To the extent not inconsistent with Iowa Code chapters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rules adopted pursuant to those chapters, chapter 8 of the Food Code is adopted for food establishments. A license may be immediately suspended in cases of an imminent health hazard. Iowa Code section </w:t>
      </w:r>
      <w:hyperlink r:id="rId56">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Food Code chapter 8 will be followed in cases of an imminent health hazard. The appeal process in rule </w:t>
      </w:r>
      <w:hyperlink r:id="rId57">
        <w:r>
          <w:rPr>
            <w:rStyle w:val="Hyperlink"/>
            <w:rFonts w:ascii="Times New Roman" w:hAnsi="Times New Roman"/>
            <w:b w:val="false"/>
            <w:i w:val="false"/>
            <w:color w:val="000000"/>
            <w:sz w:val="22"/>
          </w:rPr>
          <w:t>481—30.11</w:t>
        </w:r>
      </w:hyperlink>
      <w:r>
        <w:rPr>
          <w:rFonts w:ascii="Times New Roman" w:hAnsi="Times New Roman"/>
          <w:b w:val="false"/>
          <w:i w:val="false"/>
          <w:color w:val="000000"/>
          <w:sz w:val="22"/>
        </w:rPr>
        <w:t>(10A,137C,137F) is available following an immediate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30.10(2)</w:t>
      </w:r>
      <w:r>
        <w:rPr>
          <w:rFonts w:ascii="Times New Roman" w:hAnsi="Times New Roman"/>
          <w:b w:val="false"/>
          <w:i w:val="false"/>
          <w:color w:val="000000"/>
          <w:sz w:val="22"/>
        </w:rPr>
        <w:t> </w:t>
      </w:r>
      <w:r>
        <w:rPr>
          <w:rFonts w:ascii="Times New Roman" w:hAnsi="Times New Roman"/>
          <w:b w:val="false"/>
          <w:i/>
          <w:color w:val="000000"/>
          <w:sz w:val="22"/>
        </w:rPr>
        <w:t xml:space="preserve">Criminal offense—conviction of license holder. </w:t>
      </w:r>
      <w:r>
        <w:rPr>
          <w:rFonts w:ascii="Times New Roman" w:hAnsi="Times New Roman"/>
          <w:b w:val="false"/>
          <w:i w:val="false"/>
          <w:color w:val="000000"/>
          <w:sz w:val="22"/>
        </w:rPr>
        <w:t>The department may revoke the license of a license holder who conducts an activity constituting a criminal offense in the licensed food establishment resulting in a felony, serious misdemeanor or aggravated misdemeanor conviction. A certified copy of the final order or judgment of conviction or plea of guilty is conclusive evidence of the conviction.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Formal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may contest adverse action taken pursuant to this chapter by submitting a request for hearing to the department within 30 days of the mailing or service of the department’s action. Appeals and hearings are governed by </w:t>
      </w:r>
      <w:hyperlink r:id="rId5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contractors, license holders shall have the opportunity for a hearing before the local board of health. If the hearing is conducted before the local board of health, the license holder may appeal to the department and shall follow the process for review in rule </w:t>
      </w:r>
      <w:hyperlink r:id="rId59">
        <w:r>
          <w:rPr>
            <w:rStyle w:val="Hyperlink"/>
            <w:rFonts w:ascii="Times New Roman" w:hAnsi="Times New Roman"/>
            <w:b w:val="false"/>
            <w:i w:val="false"/>
            <w:color w:val="000000"/>
            <w:sz w:val="22"/>
          </w:rPr>
          <w:t>481—9.3</w:t>
        </w:r>
      </w:hyperlink>
      <w:r>
        <w:rPr>
          <w:rFonts w:ascii="Times New Roman" w:hAnsi="Times New Roman"/>
          <w:b w:val="false"/>
          <w:i w:val="false"/>
          <w:color w:val="000000"/>
          <w:sz w:val="22"/>
        </w:rPr>
        <w:t>(10A,17A).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w:t>
      </w:r>
      <w:r>
        <w:rPr>
          <w:rFonts w:ascii="Times New Roman" w:hAnsi="Times New Roman"/>
          <w:b/>
          <w:i w:val="false"/>
          <w:color w:val="000000"/>
          <w:sz w:val="22"/>
        </w:rPr>
        <w:t xml:space="preserve">(137F) </w:t>
      </w:r>
      <w:r>
        <w:rPr>
          <w:rFonts w:ascii="Times New Roman" w:hAnsi="Times New Roman"/>
          <w:b/>
          <w:i w:val="false"/>
          <w:color w:val="000000"/>
          <w:sz w:val="22"/>
        </w:rPr>
        <w:t xml:space="preserve">Primary servicing laboratory. </w:t>
      </w:r>
      <w:r>
        <w:rPr>
          <w:rFonts w:ascii="Times New Roman" w:hAnsi="Times New Roman"/>
          <w:b w:val="false"/>
          <w:i w:val="false"/>
          <w:color w:val="000000"/>
          <w:sz w:val="22"/>
        </w:rPr>
        <w:t xml:space="preserve">The primary servicing laboratory for the food and consumer safety bureau is the State Hygienic Laboratory at the University of Iowa created under Iowa Code section </w:t>
      </w:r>
      <w:hyperlink r:id="rId60">
        <w:r>
          <w:rPr>
            <w:rStyle w:val="Hyperlink"/>
            <w:rFonts w:ascii="Times New Roman" w:hAnsi="Times New Roman"/>
            <w:b w:val="false"/>
            <w:i w:val="false"/>
            <w:color w:val="000000"/>
            <w:sz w:val="22"/>
          </w:rPr>
          <w:t>263.7</w:t>
        </w:r>
      </w:hyperlink>
      <w:r>
        <w:rPr>
          <w:rFonts w:ascii="Times New Roman" w:hAnsi="Times New Roman"/>
          <w:b w:val="false"/>
          <w:i w:val="false"/>
          <w:color w:val="000000"/>
          <w:sz w:val="22"/>
        </w:rPr>
        <w:t>. If the laboratory is unable to perform laboratory services, the laboratory will assist in finding another laboratory with a preference toward laboratories that are in the Food Emergency Response Network (FERN) and have achieved ISO 17025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w:t>
      </w:r>
      <w:r>
        <w:rPr>
          <w:rFonts w:ascii="Times New Roman" w:hAnsi="Times New Roman"/>
          <w:b/>
          <w:i w:val="false"/>
          <w:color w:val="000000"/>
          <w:sz w:val="22"/>
        </w:rPr>
        <w:t xml:space="preserve">(10A,137F) </w:t>
      </w:r>
      <w:r>
        <w:rPr>
          <w:rFonts w:ascii="Times New Roman" w:hAnsi="Times New Roman"/>
          <w:b/>
          <w:i w:val="false"/>
          <w:color w:val="000000"/>
          <w:sz w:val="22"/>
        </w:rPr>
        <w:t xml:space="preserve">Cottage food.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val="false"/>
          <w:color w:val="000000"/>
          <w:sz w:val="22"/>
        </w:rPr>
        <w:t>Cottage food is exempt from all licensing, permitting, inspection, packaging, and labeling laws of the state if the food complies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food does not require time/temperature control for safety. When it is not obvious whether a food requires time/temperature control for safety, the food producer will provide documentation that a food does not require time/temperature control for safety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is not a milk or milk product regulated under Iowa Code chapters </w:t>
      </w:r>
      <w:hyperlink r:id="rId61">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is not a meat, meat food product, poultry, or poultry food product regulated under Iowa Code chapter </w:t>
      </w:r>
      <w:hyperlink r:id="rId63">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food is not unpasteurized fruit or vegetable juice.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is produced in a private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food is sold and delivered by the producer directly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cottage food is labeled or affixed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to identify the name and address, phone number, or email address of the person preparing the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common name of the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ingredients of the cottage food in descending order of predominance.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“This product was produced at a residential property that is exempt from state licensing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cottage food contains one or more major food allergens, an additional allergen statement identifying each major allergen contained in the food by the common name of the allergen.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food is home-processed and contains home-canned pickles, vegetables, or fruits permitted under this rule, the date that the food was processed and canned.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Home-processed and home-canned pickles, vegetables, or fruits sold under this rule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batch must be measured by a pH meter or a water activity meter and shall have a finished equilibrium pH value of 4.60 or lower or a water activity value of 0.85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Each container that is sold or offered for sale must contain the date the food was processed and canned.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cottage food producer must provide batch testing records to the regulatory authority upon request, including at the point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Cottage food shall not be offered for sale in a food establishment except in a temporary food establishment, provided that the temporary food establishment is operated by the cottage food producer and the cottage food is offered for sale in a packaged form and labeled in accordance with paragraph </w:t>
      </w:r>
      <w:hyperlink r:id="rId64">
        <w:r>
          <w:rPr>
            <w:rStyle w:val="Hyperlink"/>
            <w:rFonts w:ascii="Times New Roman" w:hAnsi="Times New Roman"/>
            <w:b w:val="false"/>
            <w:i w:val="false"/>
            <w:color w:val="000000"/>
            <w:sz w:val="22"/>
          </w:rPr>
          <w:t>30.13(1)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0058D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1/8/88, Notice 11/18/87—published 1/27/88, effective 3/2/88]</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2/3/89, Notice 12/14/88—published 2/22/89, effective 3/29/89]</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4/28/89, Notice 3/22/89—published 5/17/89, effective 6/21/89]</w:t>
      </w:r>
    </w:p>
    <w:p>
      <w:pPr>
        <w:spacing w:before="0" w:after="0"/>
        <w:ind w:left="120"/>
        <w:jc w:val="center"/>
      </w:pPr>
      <w:r>
        <w:rPr>
          <w:rFonts w:ascii="Times New Roman" w:hAnsi="Times New Roman"/>
          <w:b w:val="false"/>
          <w:i w:val="false"/>
          <w:color w:val="000000"/>
          <w:sz w:val="21"/>
        </w:rPr>
        <w:t>[Filed 7/20/89, Notice 5/31/89—published 8/9/89, effective 9/13/89]</w:t>
      </w:r>
    </w:p>
    <w:p>
      <w:pPr>
        <w:spacing w:before="0" w:after="0"/>
        <w:ind w:left="120"/>
        <w:jc w:val="center"/>
      </w:pPr>
      <w:r>
        <w:rPr>
          <w:rFonts w:ascii="Times New Roman" w:hAnsi="Times New Roman"/>
          <w:b w:val="false"/>
          <w:i w:val="false"/>
          <w:color w:val="000000"/>
          <w:sz w:val="21"/>
        </w:rPr>
        <w:t>[Filed 10/27/89, Notice 8/23/89—published 11/15/89, effective 12/20/89]</w:t>
      </w:r>
    </w:p>
    <w:p>
      <w:pPr>
        <w:spacing w:before="0" w:after="0"/>
        <w:ind w:left="120"/>
        <w:jc w:val="center"/>
      </w:pPr>
      <w:r>
        <w:rPr>
          <w:rFonts w:ascii="Times New Roman" w:hAnsi="Times New Roman"/>
          <w:b w:val="false"/>
          <w:i w:val="false"/>
          <w:color w:val="000000"/>
          <w:sz w:val="21"/>
        </w:rPr>
        <w:t>[Filed 5/25/90, Notice 4/4/90—published 6/13/90, effective 7/18/90]</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9/22/93, Notices 4/14/93, 7/21/93—published 10/13/93, effective 11/17/93]</w:t>
      </w:r>
    </w:p>
    <w:p>
      <w:pPr>
        <w:spacing w:before="0" w:after="0"/>
        <w:ind w:left="120"/>
        <w:jc w:val="center"/>
      </w:pPr>
      <w:r>
        <w:rPr>
          <w:rFonts w:ascii="Times New Roman" w:hAnsi="Times New Roman"/>
          <w:b w:val="false"/>
          <w:i w:val="false"/>
          <w:color w:val="000000"/>
          <w:sz w:val="21"/>
        </w:rPr>
        <w:t>[Filed 11/3/94, Notice 9/14/94—published 11/23/94, effective 12/28/94]</w:t>
      </w:r>
    </w:p>
    <w:p>
      <w:pPr>
        <w:spacing w:before="0" w:after="0"/>
        <w:ind w:left="120"/>
        <w:jc w:val="center"/>
      </w:pPr>
      <w:r>
        <w:rPr>
          <w:rFonts w:ascii="Times New Roman" w:hAnsi="Times New Roman"/>
          <w:b w:val="false"/>
          <w:i w:val="false"/>
          <w:color w:val="000000"/>
          <w:sz w:val="21"/>
        </w:rPr>
        <w:t>[Filed 9/7/95, Notice 7/5/95—published 9/27/95, effective 11/1/95]</w:t>
      </w:r>
    </w:p>
    <w:p>
      <w:pPr>
        <w:spacing w:before="0" w:after="0"/>
        <w:ind w:left="120"/>
        <w:jc w:val="center"/>
      </w:pPr>
      <w:r>
        <w:rPr>
          <w:rFonts w:ascii="Times New Roman" w:hAnsi="Times New Roman"/>
          <w:b w:val="false"/>
          <w:i w:val="false"/>
          <w:color w:val="000000"/>
          <w:sz w:val="21"/>
        </w:rPr>
        <w:t>[Filed 10/16/97, Notice 8/27/97—published 11/5/97, effective 12/10/97]</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9/1/99, Notice 7/28/99—published 9/22/99, effective 10/27/99]</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emergency 7/10/01—published 8/8/01, effective 7/10/01]</w:t>
      </w:r>
    </w:p>
    <w:p>
      <w:pPr>
        <w:spacing w:before="0" w:after="0"/>
        <w:ind w:left="120"/>
        <w:jc w:val="center"/>
      </w:pPr>
      <w:r>
        <w:rPr>
          <w:rFonts w:ascii="Times New Roman" w:hAnsi="Times New Roman"/>
          <w:b w:val="false"/>
          <w:i w:val="false"/>
          <w:color w:val="000000"/>
          <w:sz w:val="21"/>
        </w:rPr>
        <w:t>[Filed 9/26/01, Notice 8/8/01—published 10/17/01, effective 11/21/01]</w:t>
      </w:r>
    </w:p>
    <w:p>
      <w:pPr>
        <w:spacing w:before="0" w:after="0"/>
        <w:ind w:left="120"/>
        <w:jc w:val="center"/>
      </w:pPr>
      <w:r>
        <w:rPr>
          <w:rFonts w:ascii="Times New Roman" w:hAnsi="Times New Roman"/>
          <w:b w:val="false"/>
          <w:i w:val="false"/>
          <w:color w:val="000000"/>
          <w:sz w:val="21"/>
        </w:rPr>
        <w:t>[Filed emergency 6/7/02—published 6/26/02, effective 6/7/02]</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[Editorial correction to 30.4(11) published 6/4/08, effective 7/1/08]</w:t>
      </w:r>
    </w:p>
    <w:p>
      <w:pPr>
        <w:spacing w:before="0" w:after="0"/>
        <w:ind w:left="120"/>
        <w:jc w:val="center"/>
      </w:pPr>
      <w:r>
        <w:rPr>
          <w:rFonts w:ascii="Times New Roman" w:hAnsi="Times New Roman"/>
          <w:b w:val="false"/>
          <w:i w:val="false"/>
          <w:color w:val="000000"/>
          <w:sz w:val="21"/>
        </w:rPr>
        <w:t>[Filed ARC 1190C</w:t>
      </w:r>
      <w:r>
        <w:rPr>
          <w:rFonts w:ascii="Times New Roman" w:hAnsi="Times New Roman"/>
          <w:b w:val="false"/>
          <w:i w:val="false"/>
          <w:color w:val="000000"/>
          <w:sz w:val="21"/>
        </w:rPr>
        <w:t xml:space="preserve"> (Notice ARC 1026C,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3187C</w:t>
      </w:r>
      <w:r>
        <w:rPr>
          <w:rFonts w:ascii="Times New Roman" w:hAnsi="Times New Roman"/>
          <w:b w:val="false"/>
          <w:i w:val="false"/>
          <w:color w:val="000000"/>
          <w:sz w:val="21"/>
        </w:rPr>
        <w:t xml:space="preserve"> (Notice ARC 3052C,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3768C</w:t>
      </w:r>
      <w:r>
        <w:rPr>
          <w:rFonts w:ascii="Times New Roman" w:hAnsi="Times New Roman"/>
          <w:b w:val="false"/>
          <w:i w:val="false"/>
          <w:color w:val="000000"/>
          <w:sz w:val="21"/>
        </w:rPr>
        <w:t xml:space="preserve"> (Notice ARC 3650C,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4139C</w:t>
      </w:r>
      <w:r>
        <w:rPr>
          <w:rFonts w:ascii="Times New Roman" w:hAnsi="Times New Roman"/>
          <w:b w:val="false"/>
          <w:i w:val="false"/>
          <w:color w:val="000000"/>
          <w:sz w:val="21"/>
        </w:rPr>
        <w:t xml:space="preserve"> (Notice ARC 4026C, IAB 9/26/18)</w:t>
      </w:r>
      <w:r>
        <w:rPr>
          <w:rFonts w:ascii="Times New Roman" w:hAnsi="Times New Roman"/>
          <w:b w:val="false"/>
          <w:i w:val="false"/>
          <w:color w:val="000000"/>
          <w:sz w:val="21"/>
        </w:rPr>
        <w:t>, IAB 11/21/18, effective 1/1/19]</w:t>
      </w:r>
    </w:p>
    <w:p>
      <w:pPr>
        <w:spacing w:before="0" w:after="0"/>
        <w:ind w:left="120"/>
        <w:jc w:val="center"/>
      </w:pPr>
      <w:r>
        <w:rPr>
          <w:rFonts w:ascii="Times New Roman" w:hAnsi="Times New Roman"/>
          <w:b w:val="false"/>
          <w:i w:val="false"/>
          <w:color w:val="000000"/>
          <w:sz w:val="21"/>
        </w:rPr>
        <w:t>[Filed ARC 4731C</w:t>
      </w:r>
      <w:r>
        <w:rPr>
          <w:rFonts w:ascii="Times New Roman" w:hAnsi="Times New Roman"/>
          <w:b w:val="false"/>
          <w:i w:val="false"/>
          <w:color w:val="000000"/>
          <w:sz w:val="21"/>
        </w:rPr>
        <w:t xml:space="preserve"> (Notice ARC 4589C,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5119C</w:t>
      </w:r>
      <w:r>
        <w:rPr>
          <w:rFonts w:ascii="Times New Roman" w:hAnsi="Times New Roman"/>
          <w:b w:val="false"/>
          <w:i w:val="false"/>
          <w:color w:val="000000"/>
          <w:sz w:val="21"/>
        </w:rPr>
        <w:t xml:space="preserve"> (Notice ARC 4923C, IAB 2/12/20)</w:t>
      </w:r>
      <w:r>
        <w:rPr>
          <w:rFonts w:ascii="Times New Roman" w:hAnsi="Times New Roman"/>
          <w:b w:val="false"/>
          <w:i w:val="false"/>
          <w:color w:val="000000"/>
          <w:sz w:val="21"/>
        </w:rPr>
        <w:t>, IAB 7/29/20, effective 9/2/20]</w:t>
      </w:r>
    </w:p>
    <w:p>
      <w:pPr>
        <w:spacing w:before="0" w:after="0"/>
        <w:ind w:left="120"/>
        <w:jc w:val="center"/>
      </w:pPr>
      <w:r>
        <w:rPr>
          <w:rFonts w:ascii="Times New Roman" w:hAnsi="Times New Roman"/>
          <w:b w:val="false"/>
          <w:i w:val="false"/>
          <w:color w:val="000000"/>
          <w:sz w:val="21"/>
        </w:rPr>
        <w:t>[Filed ARC 5353C</w:t>
      </w:r>
      <w:r>
        <w:rPr>
          <w:rFonts w:ascii="Times New Roman" w:hAnsi="Times New Roman"/>
          <w:b w:val="false"/>
          <w:i w:val="false"/>
          <w:color w:val="000000"/>
          <w:sz w:val="21"/>
        </w:rPr>
        <w:t xml:space="preserve"> (Notice ARC 5262C, IAB 11/4/20)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5354C</w:t>
      </w:r>
      <w:r>
        <w:rPr>
          <w:rFonts w:ascii="Times New Roman" w:hAnsi="Times New Roman"/>
          <w:b w:val="false"/>
          <w:i w:val="false"/>
          <w:color w:val="000000"/>
          <w:sz w:val="21"/>
        </w:rPr>
        <w:t xml:space="preserve"> (Notice ARC 5263C, IAB 11/4/20)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5843C</w:t>
      </w:r>
      <w:r>
        <w:rPr>
          <w:rFonts w:ascii="Times New Roman" w:hAnsi="Times New Roman"/>
          <w:b w:val="false"/>
          <w:i w:val="false"/>
          <w:color w:val="000000"/>
          <w:sz w:val="21"/>
        </w:rPr>
        <w:t xml:space="preserve"> (Notice ARC 5701C,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5845C</w:t>
      </w:r>
      <w:r>
        <w:rPr>
          <w:rFonts w:ascii="Times New Roman" w:hAnsi="Times New Roman"/>
          <w:b w:val="false"/>
          <w:i w:val="false"/>
          <w:color w:val="000000"/>
          <w:sz w:val="21"/>
        </w:rPr>
        <w:t xml:space="preserve"> (Notice ARC 5703C,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6568C</w:t>
      </w:r>
      <w:r>
        <w:rPr>
          <w:rFonts w:ascii="Times New Roman" w:hAnsi="Times New Roman"/>
          <w:b w:val="false"/>
          <w:i w:val="false"/>
          <w:color w:val="000000"/>
          <w:sz w:val="21"/>
        </w:rPr>
        <w:t xml:space="preserve"> (Notice ARC 6455C,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6859C</w:t>
      </w:r>
      <w:r>
        <w:rPr>
          <w:rFonts w:ascii="Times New Roman" w:hAnsi="Times New Roman"/>
          <w:b w:val="false"/>
          <w:i w:val="false"/>
          <w:color w:val="000000"/>
          <w:sz w:val="21"/>
        </w:rPr>
        <w:t xml:space="preserve"> (Notice ARC 6744C,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ARC 0058D</w:t>
      </w:r>
      <w:r>
        <w:rPr>
          <w:rFonts w:ascii="Times New Roman" w:hAnsi="Times New Roman"/>
          <w:b w:val="false"/>
          <w:i w:val="false"/>
          <w:color w:val="000000"/>
          <w:sz w:val="21"/>
        </w:rPr>
        <w:t xml:space="preserve"> (Notice ARC 9776C, IAB 12/10/25)</w:t>
      </w:r>
      <w:r>
        <w:rPr>
          <w:rFonts w:ascii="Times New Roman" w:hAnsi="Times New Roman"/>
          <w:b w:val="false"/>
          <w:i w:val="false"/>
          <w:color w:val="000000"/>
          <w:sz w:val="21"/>
        </w:rPr>
        <w:t>, IAB 2/4/26, effective 3/11/26]</w:t>
      </w:r>
    </w:p>
    <w:p>
      <w:pPr>
        <w:spacing w:before="0" w:after="0"/>
        <w:ind w:left="120"/>
        <w:jc w:val="center"/>
      </w:pPr>
      <w:r>
        <w:rPr>
          <w:rFonts w:ascii="Times New Roman" w:hAnsi="Times New Roman"/>
          <w:b w:val="false"/>
          <w:i w:val="false"/>
          <w:color w:val="000000"/>
          <w:sz w:val="21"/>
        </w:rPr>
        <w:t>[Editorial change: IAC Supplement 8/5/26]</w:t>
      </w:r>
    </w:p>
    <w:sectPr>
      <w:footerReference r:id="rId6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0.pdf" Type="http://schemas.openxmlformats.org/officeDocument/2006/relationships/hyperlink" Id="rId5"/>
    <Relationship TargetMode="External" Target="https://www.legis.iowa.gov/docs/iac/chapter/481.31.pdf" Type="http://schemas.openxmlformats.org/officeDocument/2006/relationships/hyperlink" Id="rId6"/>
    <Relationship TargetMode="External" Target="https://www.legis.iowa.gov/docs/iac/rule/481.31.1.pdf" Type="http://schemas.openxmlformats.org/officeDocument/2006/relationships/hyperlink" Id="rId7"/>
    <Relationship TargetMode="External" Target="https://www.legis.iowa.gov/docs/ico/chapter/137F.pdf" Type="http://schemas.openxmlformats.org/officeDocument/2006/relationships/hyperlink" Id="rId8"/>
    <Relationship TargetMode="External" Target="https://www.legis.iowa.gov/docs/ico/chapter/137C.2.pdf" Type="http://schemas.openxmlformats.org/officeDocument/2006/relationships/hyperlink" Id="rId9"/>
    <Relationship TargetMode="External" Target="https://www.legis.iowa.gov/docs/ico/chapter/137F.1.pdf" Type="http://schemas.openxmlformats.org/officeDocument/2006/relationships/hyperlink" Id="rId10"/>
    <Relationship TargetMode="External" Target="https://www.legis.iowa.gov/docs/ico/chapter/137C.pdf" Type="http://schemas.openxmlformats.org/officeDocument/2006/relationships/hyperlink" Id="rId11"/>
    <Relationship TargetMode="External" Target="https://www.legis.iowa.gov/docs/ico/chapter/137F.pdf" Type="http://schemas.openxmlformats.org/officeDocument/2006/relationships/hyperlink" Id="rId12"/>
    <Relationship TargetMode="External" Target="https://www.legis.iowa.gov/docs/ico/chapter/701.2.pdf" Type="http://schemas.openxmlformats.org/officeDocument/2006/relationships/hyperlink" Id="rId13"/>
    <Relationship TargetMode="External" Target="https://www.legis.iowa.gov/docs/ico/chapter/137F.1.pdf" Type="http://schemas.openxmlformats.org/officeDocument/2006/relationships/hyperlink" Id="rId14"/>
    <Relationship TargetMode="External" Target="https://www.legis.iowa.gov/docs/ico/chapter/137F.1.pdf" Type="http://schemas.openxmlformats.org/officeDocument/2006/relationships/hyperlink" Id="rId15"/>
    <Relationship TargetMode="External" Target="https://www.legis.iowa.gov/docs/ico/chapter/137F.1.pdf" Type="http://schemas.openxmlformats.org/officeDocument/2006/relationships/hyperlink" Id="rId16"/>
    <Relationship TargetMode="External" Target="https://www.legis.iowa.gov/docs/iac/rule/481.69.28.pdf" Type="http://schemas.openxmlformats.org/officeDocument/2006/relationships/hyperlink" Id="rId17"/>
    <Relationship TargetMode="External" Target="https://www.legis.iowa.gov/docs/iac/rule/481.70.28.pdf" Type="http://schemas.openxmlformats.org/officeDocument/2006/relationships/hyperlink" Id="rId18"/>
    <Relationship TargetMode="External" Target="https://www.legis.iowa.gov/docs/ico/chapter/137D.pdf" Type="http://schemas.openxmlformats.org/officeDocument/2006/relationships/hyperlink" Id="rId19"/>
    <Relationship TargetMode="External" Target="https://www.legis.iowa.gov/docs/ico/chapter/137F.20.pdf" Type="http://schemas.openxmlformats.org/officeDocument/2006/relationships/hyperlink" Id="rId20"/>
    <Relationship TargetMode="External" Target="https://www.legis.iowa.gov/docs/ico/chapter/189A.3.pdf" Type="http://schemas.openxmlformats.org/officeDocument/2006/relationships/hyperlink" Id="rId21"/>
    <Relationship TargetMode="External" Target="https://www.legis.iowa.gov/docs/ico/chapter/123.pdf" Type="http://schemas.openxmlformats.org/officeDocument/2006/relationships/hyperlink" Id="rId22"/>
    <Relationship TargetMode="External" Target="https://www.legis.iowa.gov/docs/ico/chapter/192.107.pdf" Type="http://schemas.openxmlformats.org/officeDocument/2006/relationships/hyperlink" Id="rId23"/>
    <Relationship TargetMode="External" Target="https://www.legis.iowa.gov/docs/ico/chapter/194.1.pdf" Type="http://schemas.openxmlformats.org/officeDocument/2006/relationships/hyperlink" Id="rId24"/>
    <Relationship TargetMode="External" Target="https://www.legis.iowa.gov/docs/ico/chapter/196.3.pdf" Type="http://schemas.openxmlformats.org/officeDocument/2006/relationships/hyperlink" Id="rId25"/>
    <Relationship TargetMode="External" Target="https://www.legis.iowa.gov/docs/ico/chapter/123.pdf" Type="http://schemas.openxmlformats.org/officeDocument/2006/relationships/hyperlink" Id="rId26"/>
    <Relationship TargetMode="External" Target="https://www.legis.iowa.gov/docs/ico/chapter/189A.3.pdf" Type="http://schemas.openxmlformats.org/officeDocument/2006/relationships/hyperlink" Id="rId27"/>
    <Relationship TargetMode="External" Target="https://www.legis.iowa.gov/docs/ico/chapter/192.107.pdf" Type="http://schemas.openxmlformats.org/officeDocument/2006/relationships/hyperlink" Id="rId28"/>
    <Relationship TargetMode="External" Target="https://www.legis.iowa.gov/docs/ico/chapter/194.1.pdf" Type="http://schemas.openxmlformats.org/officeDocument/2006/relationships/hyperlink" Id="rId29"/>
    <Relationship TargetMode="External" Target="https://www.legis.iowa.gov/docs/ico/chapter/196.3.pdf" Type="http://schemas.openxmlformats.org/officeDocument/2006/relationships/hyperlink" Id="rId30"/>
    <Relationship TargetMode="External" Target="https://www.legis.iowa.gov/docs/ico/chapter/137D.pdf" Type="http://schemas.openxmlformats.org/officeDocument/2006/relationships/hyperlink" Id="rId31"/>
    <Relationship TargetMode="External" Target="https://www.legis.iowa.gov/docs/ico/chapter/423.3.pdf" Type="http://schemas.openxmlformats.org/officeDocument/2006/relationships/hyperlink" Id="rId32"/>
    <Relationship TargetMode="External" Target="https://www.legis.iowa.gov/docs/ico/chapter/137C.2.pdf" Type="http://schemas.openxmlformats.org/officeDocument/2006/relationships/hyperlink" Id="rId33"/>
    <Relationship TargetMode="External" Target="https://www.legis.iowa.gov/docs/ico/chapter/137F.1.pdf" Type="http://schemas.openxmlformats.org/officeDocument/2006/relationships/hyperlink" Id="rId34"/>
    <Relationship TargetMode="External" Target="https://www.legis.iowa.gov/docs/ico/chapter/137F.1.pdf" Type="http://schemas.openxmlformats.org/officeDocument/2006/relationships/hyperlink" Id="rId35"/>
    <Relationship TargetMode="External" Target="https://www.legis.iowa.gov/docs/ico/chapter/137F.1.pdf" Type="http://schemas.openxmlformats.org/officeDocument/2006/relationships/hyperlink" Id="rId36"/>
    <Relationship TargetMode="External" Target="https://www.legis.iowa.gov/docs/ico/chapter/137F.1.pdf" Type="http://schemas.openxmlformats.org/officeDocument/2006/relationships/hyperlink" Id="rId37"/>
    <Relationship TargetMode="External" Target="https://www.legis.iowa.gov/docs/ico/chapter/137F.1.pdf" Type="http://schemas.openxmlformats.org/officeDocument/2006/relationships/hyperlink" Id="rId38"/>
    <Relationship TargetMode="External" Target="https://www.legis.iowa.gov/docs/ico/chapter/137F.pdf" Type="http://schemas.openxmlformats.org/officeDocument/2006/relationships/hyperlink" Id="rId39"/>
    <Relationship TargetMode="External" Target="https://www.legis.iowa.gov/docs/iac/rule/481.30.4.pdf" Type="http://schemas.openxmlformats.org/officeDocument/2006/relationships/hyperlink" Id="rId40"/>
    <Relationship TargetMode="External" Target="https://www.legis.iowa.gov/docs/ico/chapter/137F.pdf" Type="http://schemas.openxmlformats.org/officeDocument/2006/relationships/hyperlink" Id="rId41"/>
    <Relationship TargetMode="External" Target="https://www.legis.iowa.gov/docs/ico/chapter/137C.pdf" Type="http://schemas.openxmlformats.org/officeDocument/2006/relationships/hyperlink" Id="rId42"/>
    <Relationship TargetMode="External" Target="https://www.legis.iowa.gov/docs/ico/chapter/137F.4.pdf" Type="http://schemas.openxmlformats.org/officeDocument/2006/relationships/hyperlink" Id="rId43"/>
    <Relationship TargetMode="External" Target="https://www.legis.iowa.gov/docs/iac/rule/481.30.3.pdf" Type="http://schemas.openxmlformats.org/officeDocument/2006/relationships/hyperlink" Id="rId44"/>
    <Relationship TargetMode="External" Target="https://www.legis.iowa.gov/docs/ico/chapter/137F.9.pdf" Type="http://schemas.openxmlformats.org/officeDocument/2006/relationships/hyperlink" Id="rId45"/>
    <Relationship TargetMode="External" Target="https://www.legis.iowa.gov/docs/ico/chapter/137C.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ac/rule/481.30.5.pdf" Type="http://schemas.openxmlformats.org/officeDocument/2006/relationships/hyperlink" Id="rId48"/>
    <Relationship TargetMode="External" Target="https://www.legis.iowa.gov/docs/ico/chapter/137F.6.pdf" Type="http://schemas.openxmlformats.org/officeDocument/2006/relationships/hyperlink" Id="rId49"/>
    <Relationship TargetMode="External" Target="https://www.legis.iowa.gov/docs/ico/chapter/137C.pdf" Type="http://schemas.openxmlformats.org/officeDocument/2006/relationships/hyperlink" Id="rId50"/>
    <Relationship TargetMode="External" Target="https://www.legis.iowa.gov/docs/ico/chapter/22.pdf" Type="http://schemas.openxmlformats.org/officeDocument/2006/relationships/hyperlink" Id="rId51"/>
    <Relationship TargetMode="External" Target="http://dial.iowa.gov"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co/chapter/137C.pdf" Type="http://schemas.openxmlformats.org/officeDocument/2006/relationships/hyperlink" Id="rId54"/>
    <Relationship TargetMode="External" Target="https://www.legis.iowa.gov/docs/ico/chapter/137F.pdf" Type="http://schemas.openxmlformats.org/officeDocument/2006/relationships/hyperlink" Id="rId55"/>
    <Relationship TargetMode="External" Target="https://www.legis.iowa.gov/docs/ico/chapter/17A.18A.pdf" Type="http://schemas.openxmlformats.org/officeDocument/2006/relationships/hyperlink" Id="rId56"/>
    <Relationship TargetMode="External" Target="https://www.legis.iowa.gov/docs/iac/rule/481.30.11.pdf" Type="http://schemas.openxmlformats.org/officeDocument/2006/relationships/hyperlink" Id="rId57"/>
    <Relationship TargetMode="External" Target="https://www.legis.iowa.gov/docs/iac/chapter/7.2506.pdf" Type="http://schemas.openxmlformats.org/officeDocument/2006/relationships/hyperlink" Id="rId58"/>
    <Relationship TargetMode="External" Target="https://www.legis.iowa.gov/docs/iac/rule/481.9.3.pdf" Type="http://schemas.openxmlformats.org/officeDocument/2006/relationships/hyperlink" Id="rId59"/>
    <Relationship TargetMode="External" Target="https://www.legis.iowa.gov/docs/ico/chapter/263.7.pdf" Type="http://schemas.openxmlformats.org/officeDocument/2006/relationships/hyperlink" Id="rId60"/>
    <Relationship TargetMode="External" Target="https://www.legis.iowa.gov/docs/ico/chapter/192.pdf" Type="http://schemas.openxmlformats.org/officeDocument/2006/relationships/hyperlink" Id="rId61"/>
    <Relationship TargetMode="External" Target="https://www.legis.iowa.gov/docs/ico/chapter/194.pdf" Type="http://schemas.openxmlformats.org/officeDocument/2006/relationships/hyperlink" Id="rId62"/>
    <Relationship TargetMode="External" Target="https://www.legis.iowa.gov/docs/ico/chapter/189A.pdf" Type="http://schemas.openxmlformats.org/officeDocument/2006/relationships/hyperlink" Id="rId63"/>
    <Relationship TargetMode="External" Target="https://www.legis.iowa.gov/docs/iac/rule/481.30.13.pdf" Type="http://schemas.openxmlformats.org/officeDocument/2006/relationships/hyperlink" Id="rId64"/>
    <Relationship TargetMode="External" Target="https://www.legis.iowa.gov/docs/ico/chapter/137F.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