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286</w:t>
      </w:r>
    </w:p>
    <w:p>
      <w:pPr>
        <w:spacing w:before="0" w:after="0"/>
        <w:ind w:left="120"/>
        <w:jc w:val="center"/>
      </w:pPr>
      <w:r>
        <w:rPr>
          <w:rFonts w:ascii="Times New Roman" w:hAnsi="Times New Roman"/>
          <w:b w:val="false"/>
          <w:i w:val="false"/>
          <w:color w:val="000000"/>
          <w:sz w:val="21"/>
        </w:rPr>
        <w:t>LIQUEFIED PETROLEUM GAS</w:t>
      </w:r>
    </w:p>
    <w:p>
      <w:pPr>
        <w:spacing w:before="0" w:after="0"/>
        <w:ind w:left="120"/>
        <w:jc w:val="center"/>
      </w:pPr>
      <w:r>
        <w:rPr>
          <w:rFonts w:ascii="Times New Roman" w:hAnsi="Times New Roman"/>
          <w:b w:val="false"/>
          <w:i w:val="false"/>
          <w:color w:val="000000"/>
          <w:sz w:val="14"/>
        </w:rPr>
        <w:t>[Prior to 5/23/07, see rules 661—51.100(101) to 661—51.102(101)]</w:t>
      </w:r>
    </w:p>
    <w:p>
      <w:pPr>
        <w:spacing w:before="0" w:after="0"/>
        <w:ind w:left="120"/>
        <w:jc w:val="center"/>
      </w:pPr>
      <w:r>
        <w:rPr>
          <w:rFonts w:ascii="Times New Roman" w:hAnsi="Times New Roman"/>
          <w:b w:val="false"/>
          <w:i w:val="false"/>
          <w:color w:val="000000"/>
          <w:sz w:val="14"/>
        </w:rPr>
        <w:t>[Prior to 7/9/25, see Public Safety Department[661] Ch 226]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481—286.1</w:t>
      </w:r>
      <w:r>
        <w:rPr>
          <w:rFonts w:ascii="Times New Roman" w:hAnsi="Times New Roman"/>
          <w:b/>
          <w:i w:val="false"/>
          <w:color w:val="000000"/>
          <w:sz w:val="22"/>
        </w:rPr>
        <w:t xml:space="preserve">(101)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The provisions of the National Fire Protection Association, NFPA 54, ANSI Z223.1-2024 National Fuel Gas Code, 2024 edition, and NFPA 58, Liquefied Petroleum Gas Code, 2024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and all references contained therein, are hereby adopted by reference as the general requirements for transportation, storage, handling, and use of liquefied petroleum gas, with the following amendments and interpretive guidelines: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stationary installation utilizes a storage container of more than 2,000 gallons (7,750 L) of individual water capacity, or the aggregate water capacity of storage containers in a grouping is more than 4,000 gallons (15,140 L) in water capacity, the installer shall submit plans for such installation to the department for review and approval.  Installation shall not commence until written approval from the department has been received.  Any reporting fire department where the tank(s) is located will be advised of each installation.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gas piping that is outside a building shall not be in physical contact with any concrete.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Cylinders installed permanently on roofs of buildings are prohibited.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training programs shall be instructor-led by a competent trainer and include a closed book test and a skills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acceptance and initial operation, all piping systems (including hose) shall be visually inspected and pressure-tested by the installer to determine that the materials, design, fabrication, and installation practices comply with the requirements of this chapter.</w:t>
      </w:r>
    </w:p>
    <w:p>
      <w:pPr>
        <w:spacing w:before="0" w:after="0"/>
        <w:ind w:left="120"/>
        <w:jc w:val="both"/>
      </w:pPr>
      <w:r>
        <w:rPr>
          <w:rFonts w:ascii="Times New Roman" w:hAnsi="Times New Roman"/>
          <w:b w:val="false"/>
          <w:i w:val="false"/>
          <w:color w:val="000000"/>
          <w:sz w:val="22"/>
        </w:rPr>
        <w:t>a. Pressure testing of piping systems is required as follows:</w:t>
      </w:r>
    </w:p>
    <w:p>
      <w:pPr>
        <w:spacing w:before="0" w:after="0"/>
        <w:ind w:left="120"/>
        <w:jc w:val="both"/>
      </w:pPr>
      <w:r>
        <w:rPr>
          <w:rFonts w:ascii="Times New Roman" w:hAnsi="Times New Roman"/>
          <w:b w:val="false"/>
          <w:i w:val="false"/>
          <w:color w:val="000000"/>
          <w:sz w:val="22"/>
        </w:rPr>
        <w:t>i. Piping systems with operating pressures greater than 20 psi shall have a test pressure no less than 50 psi and shall not exceed 75 psi.</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(2) Propane vapor may be used; propane liquid shall not be used.</w:t>
      </w:r>
    </w:p>
    <w:p>
      <w:pPr>
        <w:spacing w:before="0" w:after="0"/>
        <w:ind w:left="120"/>
        <w:jc w:val="both"/>
      </w:pPr>
      <w:r>
        <w:rPr>
          <w:rFonts w:ascii="Times New Roman" w:hAnsi="Times New Roman"/>
          <w:b w:val="false"/>
          <w:i w:val="false"/>
          <w:color w:val="000000"/>
          <w:sz w:val="22"/>
        </w:rPr>
        <w:t>ii. Piping systems having operating pressures of 20 psi or less, and piping to which NFPA 54, National Fuel Gas Code, is applicable shall be pressure tested in accordance with that code.</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On or after January 1, 2012, the use of railroad tank cars in stationary service will be prohibited.</w:t>
      </w:r>
    </w:p>
    <w:p>
      <w:pPr>
        <w:spacing w:before="0" w:after="0"/>
        <w:ind w:left="120"/>
        <w:jc w:val="both"/>
      </w:pPr>
      <w:r>
        <w:rPr>
          <w:rFonts w:ascii="Times New Roman" w:hAnsi="Times New Roman"/>
          <w:b w:val="false"/>
          <w:i w:val="false"/>
          <w:color w:val="000000"/>
          <w:sz w:val="22"/>
        </w:rPr>
        <w:t>a. Existing installations with prior approval of the department (documented in writing) will be permitted to remain in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the extent that NFPA standards are inconsistent with International Fire Code standards, the NFPA standards shall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5/3/07, Notice 3/28/07—published 5/23/07, effective 7/1/07]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[Filed ARC 9235B</w:t>
      </w:r>
      <w:r>
        <w:rPr>
          <w:rFonts w:ascii="Times New Roman" w:hAnsi="Times New Roman"/>
          <w:b w:val="false"/>
          <w:i w:val="false"/>
          <w:color w:val="000000"/>
          <w:sz w:val="21"/>
        </w:rPr>
        <w:t xml:space="preserve"> (Notice ARC 9098B,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1868C</w:t>
      </w:r>
      <w:r>
        <w:rPr>
          <w:rFonts w:ascii="Times New Roman" w:hAnsi="Times New Roman"/>
          <w:b w:val="false"/>
          <w:i w:val="false"/>
          <w:color w:val="000000"/>
          <w:sz w:val="21"/>
        </w:rPr>
        <w:t xml:space="preserve"> (Notice ARC 1722C,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2874C</w:t>
      </w:r>
      <w:r>
        <w:rPr>
          <w:rFonts w:ascii="Times New Roman" w:hAnsi="Times New Roman"/>
          <w:b w:val="false"/>
          <w:i w:val="false"/>
          <w:color w:val="000000"/>
          <w:sz w:val="21"/>
        </w:rPr>
        <w:t xml:space="preserve"> (Notice ARC 2658C, IAB 8/3/16)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4642C</w:t>
      </w:r>
      <w:r>
        <w:rPr>
          <w:rFonts w:ascii="Times New Roman" w:hAnsi="Times New Roman"/>
          <w:b w:val="false"/>
          <w:i w:val="false"/>
          <w:color w:val="000000"/>
          <w:sz w:val="21"/>
        </w:rPr>
        <w:t xml:space="preserve"> (Notice ARC 4521C,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8910C</w:t>
      </w:r>
      <w:r>
        <w:rPr>
          <w:rFonts w:ascii="Times New Roman" w:hAnsi="Times New Roman"/>
          <w:b w:val="false"/>
          <w:i w:val="false"/>
          <w:color w:val="000000"/>
          <w:sz w:val="21"/>
        </w:rPr>
        <w:t xml:space="preserve"> (Notice ARC 8677C,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