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282</w:t>
      </w:r>
    </w:p>
    <w:p>
      <w:pPr>
        <w:spacing w:before="0" w:after="0"/>
        <w:ind w:left="120"/>
        <w:jc w:val="center"/>
      </w:pPr>
      <w:r>
        <w:rPr>
          <w:rFonts w:ascii="Times New Roman" w:hAnsi="Times New Roman"/>
          <w:b w:val="false"/>
          <w:i w:val="false"/>
          <w:color w:val="000000"/>
          <w:sz w:val="21"/>
        </w:rPr>
        <w:t>FLAMMABLE OR COMBUSTIBLE LIQUIDS</w:t>
      </w:r>
    </w:p>
    <w:p>
      <w:pPr>
        <w:spacing w:before="0" w:after="0"/>
        <w:ind w:left="120"/>
        <w:jc w:val="center"/>
      </w:pPr>
      <w:r>
        <w:rPr>
          <w:rFonts w:ascii="Times New Roman" w:hAnsi="Times New Roman"/>
          <w:b w:val="false"/>
          <w:i w:val="false"/>
          <w:color w:val="000000"/>
          <w:sz w:val="20"/>
        </w:rPr>
        <w:t>[Prior to 7/9/25, see Public Safety Department[661] Ch 221]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6/4/30</w:t>
      </w:r>
    </w:p>
    <w:p>
      <w:pPr>
        <w:spacing w:before="0" w:after="0"/>
        <w:ind w:left="120"/>
        <w:jc w:val="both"/>
      </w:pPr>
      <w:r>
        <w:rPr>
          <w:rFonts w:ascii="Times New Roman" w:hAnsi="Times New Roman"/>
          <w:b/>
          <w:i w:val="false"/>
          <w:color w:val="000000"/>
          <w:sz w:val="22"/>
        </w:rPr>
        <w:t>481—282.1</w:t>
      </w:r>
      <w:r>
        <w:rPr>
          <w:rFonts w:ascii="Times New Roman" w:hAnsi="Times New Roman"/>
          <w:b/>
          <w:i w:val="false"/>
          <w:color w:val="000000"/>
          <w:sz w:val="22"/>
        </w:rPr>
        <w:t xml:space="preserve">(101) </w:t>
      </w:r>
      <w:r>
        <w:rPr>
          <w:rFonts w:ascii="Times New Roman" w:hAnsi="Times New Roman"/>
          <w:b/>
          <w:i w:val="false"/>
          <w:color w:val="000000"/>
          <w:sz w:val="22"/>
        </w:rPr>
        <w:t xml:space="preserve">Scope and 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282.1(1)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chapter provides the rules of the department for safe transportation, storage, handling, and use of flammable or combustible liquids. The flammable or combustible liquids program is part of the aboveground flammable or combustible liquid storage tanks program and may be contacted as provided in </w:t>
      </w:r>
      <w:hyperlink r:id="rId5">
        <w:r>
          <w:rPr>
            <w:rStyle w:val="Hyperlink"/>
            <w:rFonts w:ascii="Times New Roman" w:hAnsi="Times New Roman"/>
            <w:b w:val="false"/>
            <w:i w:val="false"/>
            <w:color w:val="000000"/>
            <w:sz w:val="22"/>
          </w:rPr>
          <w:t>481—Chapter 1</w:t>
        </w:r>
      </w:hyperlink>
      <w:r>
        <w:rPr>
          <w:rFonts w:ascii="Times New Roman" w:hAnsi="Times New Roman"/>
          <w:b w:val="false"/>
          <w:i w:val="false"/>
          <w:color w:val="000000"/>
          <w:sz w:val="22"/>
        </w:rPr>
        <w:t xml:space="preserve"> and on the department’s website: </w:t>
      </w:r>
      <w:hyperlink r:id="rId6">
        <w:r>
          <w:rPr>
            <w:rStyle w:val="Hyperlink"/>
            <w:rFonts w:ascii="Times New Roman" w:hAnsi="Times New Roman"/>
            <w:b w:val="false"/>
            <w:i w:val="false"/>
            <w:color w:val="000000"/>
            <w:sz w:val="22"/>
            <w:u w:val="single"/>
          </w:rPr>
          <w:t>dial.iowa.gov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definitions set forth in Iowa Code chapter </w:t>
      </w:r>
      <w:hyperlink r:id="rId7">
        <w:r>
          <w:rPr>
            <w:rStyle w:val="Hyperlink"/>
            <w:rFonts w:ascii="Times New Roman" w:hAnsi="Times New Roman"/>
            <w:b w:val="false"/>
            <w:i w:val="false"/>
            <w:color w:val="000000"/>
            <w:sz w:val="22"/>
          </w:rPr>
          <w:t>101</w:t>
        </w:r>
      </w:hyperlink>
      <w:r>
        <w:rPr>
          <w:rFonts w:ascii="Times New Roman" w:hAnsi="Times New Roman"/>
          <w:b w:val="false"/>
          <w:i w:val="false"/>
          <w:color w:val="000000"/>
          <w:sz w:val="22"/>
        </w:rPr>
        <w:t xml:space="preserve"> are incorporated by reference herein. The following definitions also apply to this chapter. These definitions are adopted in addition to those that appear in the International Fire Code, 2024 edition; NFPA 30, Flammable and Combustible Liquids Code, 2024 edition; and NFPA 30A, Code for Motor Fuel Dispensing and Repair Garages, 2024 edition. If a definition adopted in this rule conflicts with a definition included in a code or standard adopted by reference in this chapter, the definition found in this rule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“Approved by the department”</w:t>
      </w:r>
      <w:r>
        <w:rPr>
          <w:rFonts w:ascii="Times New Roman" w:hAnsi="Times New Roman"/>
          <w:b w:val="false"/>
          <w:i w:val="false"/>
          <w:color w:val="000000"/>
          <w:sz w:val="22"/>
        </w:rPr>
        <w:t> </w:t>
      </w:r>
      <w:r>
        <w:rPr>
          <w:rFonts w:ascii="Times New Roman" w:hAnsi="Times New Roman"/>
          <w:b w:val="false"/>
          <w:i w:val="false"/>
          <w:color w:val="000000"/>
          <w:sz w:val="22"/>
        </w:rPr>
        <w:t>means a laboratory has requested and received recognition by the department to test equipment whose use or installation is required by rules of the department. A laboratory that seeks approval of the department will contact the department and provide information required by the department. Approval or disapproval will be granted only by a letter from the department to the laboratory making the request, although advance notice of the decision of the department regarding whether approval is to be granted may be provided by electronic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“Diesel fuel”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liquid, other than gasoline, that is suitable for use as a fuel in a diesel fuel-powered engine and that meets the applicable standards established in Iowa Code section </w:t>
      </w:r>
      <w:hyperlink r:id="rId8">
        <w:r>
          <w:rPr>
            <w:rStyle w:val="Hyperlink"/>
            <w:rFonts w:ascii="Times New Roman" w:hAnsi="Times New Roman"/>
            <w:b w:val="false"/>
            <w:i w:val="false"/>
            <w:color w:val="000000"/>
            <w:sz w:val="22"/>
          </w:rPr>
          <w:t>214A.2</w:t>
        </w:r>
      </w:hyperlink>
      <w:r>
        <w:rPr>
          <w:rFonts w:ascii="Times New Roman" w:hAnsi="Times New Roman"/>
          <w:b w:val="false"/>
          <w:i w:val="false"/>
          <w:color w:val="000000"/>
          <w:sz w:val="22"/>
        </w:rPr>
        <w:t>. A blend of “diesel fuel” that meets these standards and contains 6 percent biodiesel or more is “biodiesel fuel.” Diesel fuel blends that meet these standards and contain less than 6 percent biodiesel are diesel fuel and not biodiesel fuel.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“ICC”</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International Code Council, 200 Massachusetts Avenue, NW, Suite 250, Washington, D.C., 20001; website </w:t>
      </w:r>
      <w:hyperlink r:id="rId9">
        <w:r>
          <w:rPr>
            <w:rStyle w:val="Hyperlink"/>
            <w:rFonts w:ascii="Times New Roman" w:hAnsi="Times New Roman"/>
            <w:b w:val="false"/>
            <w:i w:val="false"/>
            <w:color w:val="000000"/>
            <w:sz w:val="22"/>
            <w:u w:val="single"/>
          </w:rPr>
          <w:t>iccsafe.org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“IFC”</w:t>
      </w:r>
      <w:r>
        <w:rPr>
          <w:rFonts w:ascii="Times New Roman" w:hAnsi="Times New Roman"/>
          <w:b w:val="false"/>
          <w:i w:val="false"/>
          <w:color w:val="000000"/>
          <w:sz w:val="22"/>
        </w:rPr>
        <w:t> </w:t>
      </w:r>
      <w:r>
        <w:rPr>
          <w:rFonts w:ascii="Times New Roman" w:hAnsi="Times New Roman"/>
          <w:b w:val="false"/>
          <w:i w:val="false"/>
          <w:color w:val="000000"/>
          <w:sz w:val="22"/>
        </w:rPr>
        <w:t>means the International Fire Code, published by the ICC. “IFC” will be followed by a year (e.g., IFC, 2006), which indicates the specific edition of the IFC to which reference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“Independent testing laboratory”</w:t>
      </w:r>
      <w:r>
        <w:rPr>
          <w:rFonts w:ascii="Times New Roman" w:hAnsi="Times New Roman"/>
          <w:b w:val="false"/>
          <w:i w:val="false"/>
          <w:color w:val="000000"/>
          <w:sz w:val="22"/>
        </w:rPr>
        <w:t> </w:t>
      </w:r>
      <w:r>
        <w:rPr>
          <w:rFonts w:ascii="Times New Roman" w:hAnsi="Times New Roman"/>
          <w:b w:val="false"/>
          <w:i w:val="false"/>
          <w:color w:val="000000"/>
          <w:sz w:val="22"/>
        </w:rPr>
        <w:t>means a laboratory recognized by the federal Occupational Safety and Health Administration as a nationally recognized testing laboratory or a laboratory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“Listed”</w:t>
      </w:r>
      <w:r>
        <w:rPr>
          <w:rFonts w:ascii="Times New Roman" w:hAnsi="Times New Roman"/>
          <w:b w:val="false"/>
          <w:i w:val="false"/>
          <w:color w:val="000000"/>
          <w:sz w:val="22"/>
        </w:rPr>
        <w:t> </w:t>
      </w:r>
      <w:r>
        <w:rPr>
          <w:rFonts w:ascii="Times New Roman" w:hAnsi="Times New Roman"/>
          <w:b w:val="false"/>
          <w:i w:val="false"/>
          <w:color w:val="000000"/>
          <w:sz w:val="22"/>
        </w:rPr>
        <w:t>means listed or approved by an independent testing laboratory for a specific use. A product is considered to be listed if it is of a model that has been listed for the use to which it is being put, whether it was manufactured prior to or after the date on which the listing became effective.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“Mobile air-conditioning system”</w:t>
      </w:r>
      <w:r>
        <w:rPr>
          <w:rFonts w:ascii="Times New Roman" w:hAnsi="Times New Roman"/>
          <w:b w:val="false"/>
          <w:i w:val="false"/>
          <w:color w:val="000000"/>
          <w:sz w:val="22"/>
        </w:rPr>
        <w:t> </w:t>
      </w:r>
      <w:r>
        <w:rPr>
          <w:rFonts w:ascii="Times New Roman" w:hAnsi="Times New Roman"/>
          <w:b w:val="false"/>
          <w:i w:val="false"/>
          <w:color w:val="000000"/>
          <w:sz w:val="22"/>
        </w:rPr>
        <w:t>means mechanical vapor compression equipment that is used to cool the driver or passenger compartment of any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“NFPA”</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National Fire Protection Association, 1 Batterymarch Park, Quincy, MA 02169-7471; website </w:t>
      </w:r>
      <w:hyperlink r:id="rId10">
        <w:r>
          <w:rPr>
            <w:rStyle w:val="Hyperlink"/>
            <w:rFonts w:ascii="Times New Roman" w:hAnsi="Times New Roman"/>
            <w:b w:val="false"/>
            <w:i w:val="false"/>
            <w:color w:val="000000"/>
            <w:sz w:val="22"/>
            <w:u w:val="single"/>
          </w:rPr>
          <w:t>nfpa.org</w:t>
        </w:r>
      </w:hyperlink>
      <w:r>
        <w:rPr>
          <w:rFonts w:ascii="Times New Roman" w:hAnsi="Times New Roman"/>
          <w:b w:val="false"/>
          <w:i w:val="false"/>
          <w:color w:val="000000"/>
          <w:sz w:val="22"/>
        </w:rPr>
        <w:t>. References to the form “NFPA xx,” where “xx” is a number, refer to the NFPA standard or pamphlet of the corresponding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“SPCC plan”</w:t>
      </w:r>
      <w:r>
        <w:rPr>
          <w:rFonts w:ascii="Times New Roman" w:hAnsi="Times New Roman"/>
          <w:b w:val="false"/>
          <w:i w:val="false"/>
          <w:color w:val="000000"/>
          <w:sz w:val="22"/>
        </w:rPr>
        <w:t> </w:t>
      </w:r>
      <w:r>
        <w:rPr>
          <w:rFonts w:ascii="Times New Roman" w:hAnsi="Times New Roman"/>
          <w:b w:val="false"/>
          <w:i w:val="false"/>
          <w:color w:val="000000"/>
          <w:sz w:val="22"/>
        </w:rPr>
        <w:t>means a spill prevention, control, and countermeasure plan, as defined in 40 CFR 112, published July 22,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“Under-dispenser containment”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“UDC”</w:t>
      </w:r>
      <w:r>
        <w:rPr>
          <w:rFonts w:ascii="Times New Roman" w:hAnsi="Times New Roman"/>
          <w:b w:val="false"/>
          <w:i w:val="false"/>
          <w:color w:val="000000"/>
          <w:sz w:val="22"/>
        </w:rPr>
        <w:t> </w:t>
      </w:r>
      <w:r>
        <w:rPr>
          <w:rFonts w:ascii="Times New Roman" w:hAnsi="Times New Roman"/>
          <w:b w:val="false"/>
          <w:i w:val="false"/>
          <w:color w:val="000000"/>
          <w:sz w:val="22"/>
        </w:rPr>
        <w:t>means containment underneath a dispenser that will prevent leaks from the dispenser from reaching soil or groundwater.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9181C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481—282.2</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481—282.3</w:t>
      </w:r>
      <w:r>
        <w:rPr>
          <w:rFonts w:ascii="Times New Roman" w:hAnsi="Times New Roman"/>
          <w:b/>
          <w:i w:val="false"/>
          <w:color w:val="000000"/>
          <w:sz w:val="22"/>
        </w:rPr>
        <w:t xml:space="preserve">(101) </w:t>
      </w:r>
      <w:r>
        <w:rPr>
          <w:rFonts w:ascii="Times New Roman" w:hAnsi="Times New Roman"/>
          <w:b/>
          <w:i w:val="false"/>
          <w:color w:val="000000"/>
          <w:sz w:val="22"/>
        </w:rPr>
        <w:t xml:space="preserve">Compliance. </w:t>
      </w:r>
      <w:r>
        <w:rPr>
          <w:rFonts w:ascii="Times New Roman" w:hAnsi="Times New Roman"/>
          <w:b w:val="false"/>
          <w:i w:val="false"/>
          <w:color w:val="000000"/>
          <w:sz w:val="22"/>
        </w:rPr>
        <w:t xml:space="preserve">Any tank subject to the provisions of this chapter shall comply with this chapter and Iowa Code chapter </w:t>
      </w:r>
      <w:hyperlink r:id="rId11">
        <w:r>
          <w:rPr>
            <w:rStyle w:val="Hyperlink"/>
            <w:rFonts w:ascii="Times New Roman" w:hAnsi="Times New Roman"/>
            <w:b w:val="false"/>
            <w:i w:val="false"/>
            <w:color w:val="000000"/>
            <w:sz w:val="22"/>
          </w:rPr>
          <w:t>101</w:t>
        </w:r>
      </w:hyperlink>
      <w:r>
        <w:rPr>
          <w:rFonts w:ascii="Times New Roman" w:hAnsi="Times New Roman"/>
          <w:b w:val="false"/>
          <w:i w:val="false"/>
          <w:color w:val="000000"/>
          <w:sz w:val="22"/>
        </w:rPr>
        <w:t xml:space="preserve"> at all times.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9181C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481—282.4</w:t>
      </w:r>
      <w:r>
        <w:rPr>
          <w:rFonts w:ascii="Times New Roman" w:hAnsi="Times New Roman"/>
          <w:b/>
          <w:i w:val="false"/>
          <w:color w:val="000000"/>
          <w:sz w:val="22"/>
        </w:rPr>
        <w:t xml:space="preserve">(101) </w:t>
      </w:r>
      <w:r>
        <w:rPr>
          <w:rFonts w:ascii="Times New Roman" w:hAnsi="Times New Roman"/>
          <w:b/>
          <w:i w:val="false"/>
          <w:color w:val="000000"/>
          <w:sz w:val="22"/>
        </w:rPr>
        <w:t xml:space="preserve">Flammable or combustible liquids. </w:t>
      </w:r>
      <w:r>
        <w:rPr>
          <w:rFonts w:ascii="Times New Roman" w:hAnsi="Times New Roman"/>
          <w:b w:val="false"/>
          <w:i w:val="false"/>
          <w:color w:val="000000"/>
          <w:sz w:val="22"/>
        </w:rPr>
        <w:t>The IFC, 2024 edition, published by the ICC, Chapter 34 and references contained therein, and NFPA 30, Flammable and Combustible Liquids Code, 2024 edition, and references contained therein, subject to amendments that follow, are adopted by reference as the rules for transportation, storage, handling, and use of flammable or combustible liquids. In any case in which a provision of the IFC conflicts with a provision of NFPA 30, the NFPA provision controls. Any refinery shall comply with the provisions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282.4(1)</w:t>
      </w:r>
      <w:r>
        <w:rPr>
          <w:rFonts w:ascii="Times New Roman" w:hAnsi="Times New Roman"/>
          <w:b w:val="false"/>
          <w:i w:val="false"/>
          <w:color w:val="000000"/>
          <w:sz w:val="22"/>
        </w:rPr>
        <w:t> </w:t>
      </w:r>
      <w:r>
        <w:rPr>
          <w:rFonts w:ascii="Times New Roman" w:hAnsi="Times New Roman"/>
          <w:b w:val="false"/>
          <w:i w:val="false"/>
          <w:color w:val="000000"/>
          <w:sz w:val="22"/>
        </w:rPr>
        <w:t>Amendments to the IFC, 2024 edition,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category of combustible liquids does not include compressed gases or cryogenic fluids.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Delete the definition of refinery and insert in lieu thereof the following:</w:t>
      </w:r>
    </w:p>
    <w:p>
      <w:pPr>
        <w:spacing w:before="0" w:after="0"/>
        <w:ind w:left="120"/>
        <w:jc w:val="both"/>
      </w:pPr>
      <w:r>
        <w:rPr>
          <w:rFonts w:ascii="Times New Roman" w:hAnsi="Times New Roman"/>
          <w:b w:val="false"/>
          <w:i w:val="false"/>
          <w:color w:val="000000"/>
          <w:sz w:val="22"/>
        </w:rPr>
        <w:t>REFINERY. A plant in which flammable or combustible liquids are produced on a commercial scale from crude petroleum, natural gasoline or other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Add the following new sections:</w:t>
      </w:r>
    </w:p>
    <w:p>
      <w:pPr>
        <w:spacing w:before="0" w:after="0"/>
        <w:ind w:left="120"/>
        <w:jc w:val="both"/>
      </w:pPr>
      <w:r>
        <w:rPr>
          <w:rFonts w:ascii="Times New Roman" w:hAnsi="Times New Roman"/>
          <w:b w:val="false"/>
          <w:i w:val="false"/>
          <w:color w:val="000000"/>
          <w:sz w:val="22"/>
        </w:rPr>
        <w:t>5703.6.12 Each connection to an aboveground tank through which liquid can normally flow shall be provided with an external control valve that is located as close as practical to the shell of the tank as well as an emergency internal check valve at each pipe connection to any tank opening below normal liquid level effectively located inside the tank shell and operable both manually and by an effective heat-activated device that, in case of fire, will automatically close the valve to prevent the flow of liquid from the tank even though the pipelines from the tank are broken.</w:t>
      </w:r>
    </w:p>
    <w:p>
      <w:pPr>
        <w:spacing w:before="0" w:after="0"/>
        <w:ind w:left="120"/>
        <w:jc w:val="both"/>
      </w:pPr>
      <w:r>
        <w:rPr>
          <w:rFonts w:ascii="Times New Roman" w:hAnsi="Times New Roman"/>
          <w:b w:val="false"/>
          <w:i w:val="false"/>
          <w:color w:val="000000"/>
          <w:sz w:val="22"/>
        </w:rPr>
        <w:t>5703.6.13 Any device dispensing Class I or Class II flammable liquids shall not be constructed or installed less than 100 feet from any existing dwelling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Delete section 5704.2.9.2.2.1, introductory paragraph, and insert in lieu thereof the following:</w:t>
      </w:r>
    </w:p>
    <w:p>
      <w:pPr>
        <w:spacing w:before="0" w:after="0"/>
        <w:ind w:left="120"/>
        <w:jc w:val="both"/>
      </w:pPr>
      <w:r>
        <w:rPr>
          <w:rFonts w:ascii="Times New Roman" w:hAnsi="Times New Roman"/>
          <w:b w:val="false"/>
          <w:i w:val="false"/>
          <w:color w:val="000000"/>
          <w:sz w:val="22"/>
        </w:rPr>
        <w:t>5704.2.9.2.2.1 Foam fire protection shall:</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If required, be provided in accordance with NFPA 11, 2024 edition, and be of a type or types and amount appropriate to suppress fires involving types and amounts of flammable or combustible liquids found on the premises.</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xml:space="preserve"> Where the flammable or combustible liquid contains more than 10 percent alcohol, be alcohol-resistant and stored separately from any area in which flammable or combustible liquids are stored and, in an area, or areas that will be readily accessible to fire fighters responding to a fire at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Amend the exception to section 5704.2.9.2.2.1 by adding the following new numbered paragraphs: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premises are not a refinery.</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premises do not include bulk storage of flammable or combustible liquids.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premises do not contain total storage capacity to store one million gallons or more of flammable or combustible liquids.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Delete section 5704.3.1.1 and insert in lieu thereof the following:</w:t>
      </w:r>
    </w:p>
    <w:p>
      <w:pPr>
        <w:spacing w:before="0" w:after="0"/>
        <w:ind w:left="120"/>
        <w:jc w:val="both"/>
      </w:pPr>
      <w:r>
        <w:rPr>
          <w:rFonts w:ascii="Times New Roman" w:hAnsi="Times New Roman"/>
          <w:b w:val="false"/>
          <w:i w:val="false"/>
          <w:color w:val="000000"/>
          <w:sz w:val="22"/>
        </w:rPr>
        <w:t>5704.3.1.1 Approved containers. Only approved containers and portable tanks shall be used, and no flammable or combustible liquid be placed into, stored in, or carried in any container other than one which is metal or hard plastic or be placed into, stored in, or carried in any temporary or disposable container.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282.4(2)</w:t>
      </w:r>
      <w:r>
        <w:rPr>
          <w:rFonts w:ascii="Times New Roman" w:hAnsi="Times New Roman"/>
          <w:b w:val="false"/>
          <w:i w:val="false"/>
          <w:color w:val="000000"/>
          <w:sz w:val="22"/>
        </w:rPr>
        <w:t> </w:t>
      </w:r>
      <w:r>
        <w:rPr>
          <w:rFonts w:ascii="Times New Roman" w:hAnsi="Times New Roman"/>
          <w:b w:val="false"/>
          <w:i w:val="false"/>
          <w:color w:val="000000"/>
          <w:sz w:val="22"/>
        </w:rPr>
        <w:t>Amend NFPA 30, section 22.11.4, by adding the following new paragraphs: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Each secondary containment tank shall have top-only openings and be either a steel double-walled tank or a steel inner tank with an outer containment tank wall constructed in accordance with nationally accepted industry standards, such as those codified by the American Petroleum Institute, the Steel Tank Institute and the American Concrete Institute. Each tank will be listed by an independent testing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Each fill opening in a secondary containment tank shall be provided with a spill container that will hold at least 5 gallons.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For any secondary containment tank, interstitial tank space shall be monitored by an approved, continuous, automatic detection system that is capable of detecting liquids, including water. An automatic detection system may be either electronically or mechanically operated.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9181C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481—282.5</w:t>
      </w:r>
      <w:r>
        <w:rPr>
          <w:rFonts w:ascii="Times New Roman" w:hAnsi="Times New Roman"/>
          <w:b/>
          <w:i w:val="false"/>
          <w:color w:val="000000"/>
          <w:sz w:val="22"/>
        </w:rPr>
        <w:t xml:space="preserve">(101) </w:t>
      </w:r>
      <w:r>
        <w:rPr>
          <w:rFonts w:ascii="Times New Roman" w:hAnsi="Times New Roman"/>
          <w:b/>
          <w:i w:val="false"/>
          <w:color w:val="000000"/>
          <w:sz w:val="22"/>
        </w:rPr>
        <w:t xml:space="preserve">Motor fuel dispensing facilities and repair garages. </w:t>
      </w:r>
      <w:r>
        <w:rPr>
          <w:rFonts w:ascii="Times New Roman" w:hAnsi="Times New Roman"/>
          <w:b w:val="false"/>
          <w:i w:val="false"/>
          <w:color w:val="000000"/>
          <w:sz w:val="22"/>
        </w:rPr>
        <w:t>The IFC, 2024 edition, published by the ICC, and references contained therein, and NFPA 30A, Code for Motor Fuel Dispensing Facilities and Repair Garages, 2024 edition and references contained therein, are adopted by reference as the rules for motor fuel dispensing facilities and repair garages. If any provision of the IFC adopted herein is in conflict with any provision of NFPA 30A, the IFC provision will apply. The IFC, 2024 edition, Chapter 23, is adopted with the following amendments: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282.5(1)</w:t>
      </w:r>
      <w:r>
        <w:rPr>
          <w:rFonts w:ascii="Times New Roman" w:hAnsi="Times New Roman"/>
          <w:b w:val="false"/>
          <w:i w:val="false"/>
          <w:color w:val="000000"/>
          <w:sz w:val="22"/>
        </w:rPr>
        <w:t> </w:t>
      </w:r>
      <w:r>
        <w:rPr>
          <w:rFonts w:ascii="Times New Roman" w:hAnsi="Times New Roman"/>
          <w:b w:val="false"/>
          <w:i w:val="false"/>
          <w:color w:val="000000"/>
          <w:sz w:val="22"/>
        </w:rPr>
        <w:t>Amend Table 2306.2.3 so that:</w:t>
      </w:r>
    </w:p>
    <w:p>
      <w:pPr>
        <w:spacing w:before="0" w:after="0"/>
        <w:ind w:left="120"/>
        <w:jc w:val="both"/>
      </w:pPr>
      <w:r>
        <w:rPr>
          <w:rFonts w:ascii="Times New Roman" w:hAnsi="Times New Roman"/>
          <w:b w:val="false"/>
          <w:i w:val="false"/>
          <w:color w:val="000000"/>
          <w:sz w:val="22"/>
        </w:rPr>
        <w:t>Each tank with a capacity of not more than 6,000 gallons for motor vehicle fuel dispensing systems and storing a Class I liquid, or with a capacity of not more than 12,000 gallons and storing a Class II or Class III liquid, that is located at a commercial, industrial, governmental, or manufacturing establishment, and that is intended for fueling vehicles used in connection with the establishment, is required to be located at least: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40 feet away from the nearest important building on the same property;</w:t>
      </w:r>
    </w:p>
    <w:p>
      <w:pPr>
        <w:spacing w:before="0" w:after="0"/>
        <w:ind w:left="120"/>
        <w:jc w:val="both"/>
      </w:pPr>
      <w:r>
        <w:rPr>
          <w:rFonts w:ascii="Times New Roman" w:hAnsi="Times New Roman"/>
          <w:b w:val="false"/>
          <w:i w:val="false"/>
          <w:color w:val="000000"/>
          <w:sz w:val="22"/>
        </w:rPr>
        <w:t>Exception: Tanks may be located closer than 40 feet to a building of noncombustible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40 feet away from any property that is or may be built upon, including the opposite side of a public way;</w:t>
      </w:r>
    </w:p>
    <w:p>
      <w:pPr>
        <w:spacing w:before="0" w:after="0"/>
        <w:ind w:left="120"/>
        <w:jc w:val="both"/>
      </w:pPr>
      <w:r>
        <w:rPr>
          <w:rFonts w:ascii="Times New Roman" w:hAnsi="Times New Roman"/>
          <w:b w:val="false"/>
          <w:i w:val="false"/>
          <w:color w:val="000000"/>
          <w:sz w:val="22"/>
        </w:rPr>
        <w:t>Exception: No minimum separation will be required for any tank that complies with NFPA 30A, section 4.3.2.6.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100 feet away from any residence or place of assembly.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282.5(2)</w:t>
      </w:r>
      <w:r>
        <w:rPr>
          <w:rFonts w:ascii="Times New Roman" w:hAnsi="Times New Roman"/>
          <w:b w:val="false"/>
          <w:i w:val="false"/>
          <w:color w:val="000000"/>
          <w:sz w:val="22"/>
        </w:rPr>
        <w:t> </w:t>
      </w:r>
      <w:r>
        <w:rPr>
          <w:rFonts w:ascii="Times New Roman" w:hAnsi="Times New Roman"/>
          <w:b w:val="false"/>
          <w:i w:val="false"/>
          <w:color w:val="000000"/>
          <w:sz w:val="22"/>
        </w:rPr>
        <w:t>Add the following new sections:</w:t>
      </w:r>
    </w:p>
    <w:p>
      <w:pPr>
        <w:spacing w:before="0" w:after="0"/>
        <w:ind w:left="120"/>
        <w:jc w:val="both"/>
      </w:pPr>
      <w:r>
        <w:rPr>
          <w:rFonts w:ascii="Times New Roman" w:hAnsi="Times New Roman"/>
          <w:b w:val="false"/>
          <w:i w:val="false"/>
          <w:color w:val="000000"/>
          <w:sz w:val="22"/>
        </w:rPr>
        <w:t>2206.7.1.1 Dispensing of blended biofuels.</w:t>
      </w:r>
    </w:p>
    <w:p>
      <w:pPr>
        <w:spacing w:before="0" w:after="0"/>
        <w:ind w:left="120"/>
        <w:jc w:val="both"/>
      </w:pPr>
      <w:r>
        <w:rPr>
          <w:rFonts w:ascii="Times New Roman" w:hAnsi="Times New Roman"/>
          <w:b w:val="false"/>
          <w:i w:val="false"/>
          <w:color w:val="000000"/>
          <w:sz w:val="22"/>
        </w:rPr>
        <w:t>2206.7.1.1.1 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“B-blend”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biodiesel blended fuel as defined in Iowa Code section </w:t>
      </w:r>
      <w:hyperlink r:id="rId12">
        <w:r>
          <w:rPr>
            <w:rStyle w:val="Hyperlink"/>
            <w:rFonts w:ascii="Times New Roman" w:hAnsi="Times New Roman"/>
            <w:b w:val="false"/>
            <w:i w:val="false"/>
            <w:color w:val="000000"/>
            <w:sz w:val="22"/>
          </w:rPr>
          <w:t>214A.1</w:t>
        </w:r>
      </w:hyperlink>
      <w:r>
        <w:rPr>
          <w:rFonts w:ascii="Times New Roman" w:hAnsi="Times New Roman"/>
          <w:b w:val="false"/>
          <w:i w:val="false"/>
          <w:color w:val="000000"/>
          <w:sz w:val="22"/>
        </w:rPr>
        <w:t xml:space="preserve"> with the blend including between 6 and 20 percent biodiesel, as defined in Iowa Code section </w:t>
      </w:r>
      <w:hyperlink r:id="rId13">
        <w:r>
          <w:rPr>
            <w:rStyle w:val="Hyperlink"/>
            <w:rFonts w:ascii="Times New Roman" w:hAnsi="Times New Roman"/>
            <w:b w:val="false"/>
            <w:i w:val="false"/>
            <w:color w:val="000000"/>
            <w:sz w:val="22"/>
          </w:rPr>
          <w:t>214A.1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Note: For purposes of the rules contained in this chapter and other chapters of rules of the department, diesel fuel may contain biodiesel provided that the concentration of biodiesel is less than 6 percent in accordance with rule </w:t>
      </w:r>
      <w:hyperlink r:id="rId14">
        <w:r>
          <w:rPr>
            <w:rStyle w:val="Hyperlink"/>
            <w:rFonts w:ascii="Times New Roman" w:hAnsi="Times New Roman"/>
            <w:b w:val="false"/>
            <w:i w:val="false"/>
            <w:color w:val="000000"/>
            <w:sz w:val="22"/>
          </w:rPr>
          <w:t>21—85.20(214A,208A)</w:t>
        </w:r>
      </w:hyperlink>
      <w:r>
        <w:rPr>
          <w:rFonts w:ascii="Times New Roman" w:hAnsi="Times New Roman"/>
          <w:b w:val="false"/>
          <w:i w:val="false"/>
          <w:color w:val="000000"/>
          <w:sz w:val="22"/>
        </w:rPr>
        <w:t>, which adopts by reference standards for the content of motor fuels established by ASTM International (formerly known as the American Society for Testing and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“E-10”</w:t>
      </w:r>
      <w:r>
        <w:rPr>
          <w:rFonts w:ascii="Times New Roman" w:hAnsi="Times New Roman"/>
          <w:b w:val="false"/>
          <w:i w:val="false"/>
          <w:color w:val="000000"/>
          <w:sz w:val="22"/>
        </w:rPr>
        <w:t> </w:t>
      </w:r>
      <w:r>
        <w:rPr>
          <w:rFonts w:ascii="Times New Roman" w:hAnsi="Times New Roman"/>
          <w:b w:val="false"/>
          <w:i w:val="false"/>
          <w:color w:val="000000"/>
          <w:sz w:val="22"/>
        </w:rPr>
        <w:t>means a blend of petroleum and ethanol including no more than 16 percent ethanol intended for use as a motor vehicle fuel.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“E-blend”</w:t>
      </w:r>
      <w:r>
        <w:rPr>
          <w:rFonts w:ascii="Times New Roman" w:hAnsi="Times New Roman"/>
          <w:b w:val="false"/>
          <w:i w:val="false"/>
          <w:color w:val="000000"/>
          <w:sz w:val="22"/>
        </w:rPr>
        <w:t> </w:t>
      </w:r>
      <w:r>
        <w:rPr>
          <w:rFonts w:ascii="Times New Roman" w:hAnsi="Times New Roman"/>
          <w:b w:val="false"/>
          <w:i w:val="false"/>
          <w:color w:val="000000"/>
          <w:sz w:val="22"/>
        </w:rPr>
        <w:t>means a blend of petroleum and ethanol including more than 16 percent ethanol intended for use as a motor vehicle fuel.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“Existing E-blend dispenser”</w:t>
      </w:r>
      <w:r>
        <w:rPr>
          <w:rFonts w:ascii="Times New Roman" w:hAnsi="Times New Roman"/>
          <w:b w:val="false"/>
          <w:i w:val="false"/>
          <w:color w:val="000000"/>
          <w:sz w:val="22"/>
        </w:rPr>
        <w:t> </w:t>
      </w:r>
      <w:r>
        <w:rPr>
          <w:rFonts w:ascii="Times New Roman" w:hAnsi="Times New Roman"/>
          <w:b w:val="false"/>
          <w:i w:val="false"/>
          <w:color w:val="000000"/>
          <w:sz w:val="22"/>
        </w:rPr>
        <w:t>means a dispenser installed on or before October 24, 2010, for use in dispensing E-blend.</w:t>
      </w:r>
    </w:p>
    <w:p>
      <w:pPr>
        <w:spacing w:before="0" w:after="0"/>
        <w:ind w:left="120"/>
        <w:jc w:val="both"/>
      </w:pPr>
      <w:r>
        <w:rPr>
          <w:rFonts w:ascii="Times New Roman" w:hAnsi="Times New Roman"/>
          <w:b w:val="false"/>
          <w:i w:val="false"/>
          <w:color w:val="000000"/>
          <w:sz w:val="22"/>
        </w:rPr>
        <w:t>2206.7.1.1.2 E-blend may be dispensed only if the dispenser is listed by an independent testing laboratory for use with E-blend or E-85.</w:t>
      </w:r>
    </w:p>
    <w:p>
      <w:pPr>
        <w:spacing w:before="0" w:after="0"/>
        <w:ind w:left="120"/>
        <w:jc w:val="both"/>
      </w:pPr>
      <w:r>
        <w:rPr>
          <w:rFonts w:ascii="Times New Roman" w:hAnsi="Times New Roman"/>
          <w:b w:val="false"/>
          <w:i w:val="false"/>
          <w:color w:val="000000"/>
          <w:sz w:val="22"/>
        </w:rPr>
        <w:t>2206.7.1.1.3 B-blend may be dispensed only if (1) and either (2), (3), (4), or (5)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Only a dispenser listed by an independent testing laboratory as compatible with diesel fuel shall be used to dispense B-blend.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shall visually inspect the dispenser and the dispenser sump daily for leaks and equipment failure and maintain a record of such inspection for at least one year after the inspection and located on the premises of the owner or operator and made available to the department of natural resources or the department upon request. If a leak is detected, the department of natural resources will be notified pursuant to Iowa Code section </w:t>
      </w:r>
      <w:hyperlink r:id="rId15">
        <w:r>
          <w:rPr>
            <w:rStyle w:val="Hyperlink"/>
            <w:rFonts w:ascii="Times New Roman" w:hAnsi="Times New Roman"/>
            <w:b w:val="false"/>
            <w:i w:val="false"/>
            <w:color w:val="000000"/>
            <w:sz w:val="22"/>
          </w:rPr>
          <w:t>455B.386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dispenser’s manufacturer has submitted the dispenser to an independent testing laboratory to be listed as compatible for use with B-blend, and the owner or operator has installed an under-dispenser containment system with electronic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Information published or provided by the manufacturer of the dispenser is available stating that the dispenser is compatible with B-blend.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owner or operator of the dispenser has in force insurance for environmental liability in a minimum amount of $500,000, which would cover damage resulting from the operation of the dispenser and the owner or operator is able to produce documentation of the insurance coverage upon request from the department or the department of natural resources.</w:t>
      </w:r>
    </w:p>
    <w:p>
      <w:pPr>
        <w:spacing w:before="0" w:after="0"/>
        <w:ind w:left="120"/>
        <w:jc w:val="both"/>
      </w:pPr>
      <w:r>
        <w:rPr>
          <w:rFonts w:ascii="Times New Roman" w:hAnsi="Times New Roman"/>
          <w:b w:val="false"/>
          <w:i w:val="false"/>
          <w:color w:val="000000"/>
          <w:sz w:val="22"/>
        </w:rPr>
        <w:t>Note: If option (2), (4), or (5) is used, under-dispenser containment will be provided if otherwise required by the rules in this chapter, rules of the department of natural resources, or any other applicable provision of law.</w:t>
      </w:r>
    </w:p>
    <w:p>
      <w:pPr>
        <w:spacing w:before="0" w:after="0"/>
        <w:ind w:left="120"/>
        <w:jc w:val="both"/>
      </w:pPr>
      <w:r>
        <w:rPr>
          <w:rFonts w:ascii="Times New Roman" w:hAnsi="Times New Roman"/>
          <w:b w:val="false"/>
          <w:i w:val="false"/>
          <w:color w:val="000000"/>
          <w:sz w:val="22"/>
        </w:rPr>
        <w:t xml:space="preserve">This subrule is intended to implement Iowa Code sections </w:t>
      </w:r>
      <w:hyperlink r:id="rId16">
        <w:r>
          <w:rPr>
            <w:rStyle w:val="Hyperlink"/>
            <w:rFonts w:ascii="Times New Roman" w:hAnsi="Times New Roman"/>
            <w:b w:val="false"/>
            <w:i w:val="false"/>
            <w:color w:val="000000"/>
            <w:sz w:val="22"/>
          </w:rPr>
          <w:t>101.1</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455G.31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282.5(3)</w:t>
      </w:r>
      <w:r>
        <w:rPr>
          <w:rFonts w:ascii="Times New Roman" w:hAnsi="Times New Roman"/>
          <w:b w:val="false"/>
          <w:i w:val="false"/>
          <w:color w:val="000000"/>
          <w:sz w:val="22"/>
        </w:rPr>
        <w:t> </w:t>
      </w:r>
      <w:r>
        <w:rPr>
          <w:rFonts w:ascii="Times New Roman" w:hAnsi="Times New Roman"/>
          <w:b w:val="false"/>
          <w:i w:val="false"/>
          <w:color w:val="000000"/>
          <w:sz w:val="22"/>
        </w:rPr>
        <w:t>Add the following new section:</w:t>
      </w:r>
    </w:p>
    <w:p>
      <w:pPr>
        <w:spacing w:before="0" w:after="0"/>
        <w:ind w:left="120"/>
        <w:jc w:val="both"/>
      </w:pPr>
      <w:r>
        <w:rPr>
          <w:rFonts w:ascii="Times New Roman" w:hAnsi="Times New Roman"/>
          <w:b w:val="false"/>
          <w:i w:val="false"/>
          <w:color w:val="000000"/>
          <w:sz w:val="22"/>
        </w:rPr>
        <w:t>2206.7.10 Under-dispenser containment (UDC). When installing a new motor fuel dispenser or replacing a motor fuel dispenser, UDC shall be installed whenever any of the following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UDC is required by a rule adopted by the environmental protection commission.</w:t>
      </w:r>
    </w:p>
    <w:p>
      <w:pPr>
        <w:spacing w:before="0" w:after="0"/>
        <w:ind w:left="120"/>
        <w:jc w:val="both"/>
      </w:pPr>
      <w:r>
        <w:rPr>
          <w:rFonts w:ascii="Times New Roman" w:hAnsi="Times New Roman"/>
          <w:b w:val="false"/>
          <w:i w:val="false"/>
          <w:color w:val="000000"/>
          <w:sz w:val="22"/>
        </w:rPr>
        <w:t xml:space="preserve">Note: See </w:t>
      </w:r>
      <w:hyperlink r:id="rId18">
        <w:r>
          <w:rPr>
            <w:rStyle w:val="Hyperlink"/>
            <w:rFonts w:ascii="Times New Roman" w:hAnsi="Times New Roman"/>
            <w:b w:val="false"/>
            <w:i w:val="false"/>
            <w:color w:val="000000"/>
            <w:sz w:val="22"/>
          </w:rPr>
          <w:t>567—subrule 135.3(9)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motor fuel dispenser is installed at a location where there previously was no dispenser;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existing motor fuel dispenser is removed and replaced with another dispenser. UDC is not required when only the emergency shutoff, shear valves or check valves are replaced.</w:t>
      </w:r>
    </w:p>
    <w:p>
      <w:pPr>
        <w:spacing w:before="0" w:after="0"/>
        <w:ind w:left="120"/>
        <w:jc w:val="both"/>
      </w:pPr>
      <w:r>
        <w:rPr>
          <w:rFonts w:ascii="Times New Roman" w:hAnsi="Times New Roman"/>
          <w:b w:val="false"/>
          <w:i w:val="false"/>
          <w:color w:val="000000"/>
          <w:sz w:val="22"/>
        </w:rPr>
        <w:t>UDC shall: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Be intact and liquid tight on its sides and bottom and at any penetrations;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Be compatible with the substance conveyed by the piping;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Allow for visual inspection and monitoring and access to the components in the containment system.</w:t>
      </w:r>
    </w:p>
    <w:p>
      <w:pPr>
        <w:spacing w:before="0" w:after="0"/>
        <w:ind w:left="120"/>
        <w:jc w:val="both"/>
      </w:pPr>
      <w:r>
        <w:rPr>
          <w:rFonts w:ascii="Times New Roman" w:hAnsi="Times New Roman"/>
          <w:b w:val="false"/>
          <w:i w:val="false"/>
          <w:color w:val="000000"/>
          <w:sz w:val="22"/>
        </w:rPr>
        <w:t>Exception: UDC will not be required for a dispenser which sits directly upon a solid concrete apron.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9181C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481—282.6</w:t>
      </w:r>
      <w:r>
        <w:rPr>
          <w:rFonts w:ascii="Times New Roman" w:hAnsi="Times New Roman"/>
          <w:b/>
          <w:i w:val="false"/>
          <w:color w:val="000000"/>
          <w:sz w:val="22"/>
        </w:rPr>
        <w:t xml:space="preserve">(101) </w:t>
      </w:r>
      <w:r>
        <w:rPr>
          <w:rFonts w:ascii="Times New Roman" w:hAnsi="Times New Roman"/>
          <w:b/>
          <w:i w:val="false"/>
          <w:color w:val="000000"/>
          <w:sz w:val="22"/>
        </w:rPr>
        <w:t xml:space="preserve">Temporary storage in disaster emergencies. </w:t>
      </w:r>
      <w:r>
        <w:rPr>
          <w:rFonts w:ascii="Times New Roman" w:hAnsi="Times New Roman"/>
          <w:b w:val="false"/>
          <w:i w:val="false"/>
          <w:color w:val="000000"/>
          <w:sz w:val="22"/>
        </w:rPr>
        <w:t>Notwithstanding any provision to the contrary found in this chapter or the IFC or NFPA 30A as adopted by reference herein, aboveground flammable or combustible liquid storage tanks may be used to store flammable or combustible liquids in motor fuel dispensing operations, provided that all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282.6(1)</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 is in an area covered by a disaster emergency proclamation issued by the governor pursuant to Iowa Code section </w:t>
      </w:r>
      <w:hyperlink r:id="rId19">
        <w:r>
          <w:rPr>
            <w:rStyle w:val="Hyperlink"/>
            <w:rFonts w:ascii="Times New Roman" w:hAnsi="Times New Roman"/>
            <w:b w:val="false"/>
            <w:i w:val="false"/>
            <w:color w:val="000000"/>
            <w:sz w:val="22"/>
          </w:rPr>
          <w:t>29C.6</w:t>
        </w:r>
      </w:hyperlink>
      <w:r>
        <w:rPr>
          <w:rFonts w:ascii="Times New Roman" w:hAnsi="Times New Roman"/>
          <w:b w:val="false"/>
          <w:i w:val="false"/>
          <w:color w:val="000000"/>
          <w:sz w:val="22"/>
        </w:rPr>
        <w:t xml:space="preserve"> or, if not in such an area, the facility has applied to the department and has been approved for storage of flammable or combustible liquids in compliance with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282.6(2)</w:t>
      </w:r>
      <w:r>
        <w:rPr>
          <w:rFonts w:ascii="Times New Roman" w:hAnsi="Times New Roman"/>
          <w:b w:val="false"/>
          <w:i w:val="false"/>
          <w:color w:val="000000"/>
          <w:sz w:val="22"/>
        </w:rPr>
        <w:t> </w:t>
      </w:r>
      <w:r>
        <w:rPr>
          <w:rFonts w:ascii="Times New Roman" w:hAnsi="Times New Roman"/>
          <w:b w:val="false"/>
          <w:i w:val="false"/>
          <w:color w:val="000000"/>
          <w:sz w:val="22"/>
        </w:rPr>
        <w:t>The facility has suffered damage that has rendered the storage tanks normally used by the facility for flammable or combustible liquids inoperable. Storage of flammable or combustible liquids in compliance with this subrule may continue only for as long as the normal storage tanks are inoperable and for more than 90 days.</w:t>
      </w:r>
    </w:p>
    <w:p>
      <w:pPr>
        <w:spacing w:before="0" w:after="0"/>
        <w:ind w:left="120"/>
        <w:jc w:val="both"/>
      </w:pPr>
      <w:r>
        <w:rPr>
          <w:rFonts w:ascii="Times New Roman" w:hAnsi="Times New Roman"/>
          <w:b w:val="false"/>
          <w:i w:val="false"/>
          <w:color w:val="000000"/>
          <w:sz w:val="22"/>
        </w:rPr>
        <w:t>Exception: In extraordinary circumstances, storage of flammable or combustible liquids in compliance with this subrule may continue for more than 90 days if the facility has sought and received specific written approval from the department for such storage.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282.6(3)</w:t>
      </w:r>
      <w:r>
        <w:rPr>
          <w:rFonts w:ascii="Times New Roman" w:hAnsi="Times New Roman"/>
          <w:b w:val="false"/>
          <w:i w:val="false"/>
          <w:color w:val="000000"/>
          <w:sz w:val="22"/>
        </w:rPr>
        <w:t> </w:t>
      </w:r>
      <w:r>
        <w:rPr>
          <w:rFonts w:ascii="Times New Roman" w:hAnsi="Times New Roman"/>
          <w:b w:val="false"/>
          <w:i w:val="false"/>
          <w:color w:val="000000"/>
          <w:sz w:val="22"/>
        </w:rPr>
        <w:t>The facility has written confirmation from the facility’s insurance provider that insurance coverage will apply while storage of flammable or combustible liquids in compliance with this subrule is occurring.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282.6(4)</w:t>
      </w:r>
      <w:r>
        <w:rPr>
          <w:rFonts w:ascii="Times New Roman" w:hAnsi="Times New Roman"/>
          <w:b w:val="false"/>
          <w:i w:val="false"/>
          <w:color w:val="000000"/>
          <w:sz w:val="22"/>
        </w:rPr>
        <w:t> </w:t>
      </w:r>
      <w:r>
        <w:rPr>
          <w:rFonts w:ascii="Times New Roman" w:hAnsi="Times New Roman"/>
          <w:b w:val="false"/>
          <w:i w:val="false"/>
          <w:color w:val="000000"/>
          <w:sz w:val="22"/>
        </w:rPr>
        <w:t>Any aboveground flammable or combustible liquid storage tank used pursuant to this subrule shall be rated or listed by an independent testing laboratory for aboveground storage of flammable or combustible liquids.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282.6(5)</w:t>
      </w:r>
      <w:r>
        <w:rPr>
          <w:rFonts w:ascii="Times New Roman" w:hAnsi="Times New Roman"/>
          <w:b w:val="false"/>
          <w:i w:val="false"/>
          <w:color w:val="000000"/>
          <w:sz w:val="22"/>
        </w:rPr>
        <w:t> </w:t>
      </w:r>
      <w:r>
        <w:rPr>
          <w:rFonts w:ascii="Times New Roman" w:hAnsi="Times New Roman"/>
          <w:b w:val="false"/>
          <w:i w:val="false"/>
          <w:color w:val="000000"/>
          <w:sz w:val="22"/>
        </w:rPr>
        <w:t>Any aboveground flammable or combustible liquid storage tank used pursuant to this subrule shall be of no more than 1,000 gallons capacity.</w:t>
      </w:r>
    </w:p>
    <w:p>
      <w:pPr>
        <w:spacing w:before="0" w:after="0"/>
        <w:ind w:left="120"/>
        <w:jc w:val="both"/>
      </w:pPr>
      <w:r>
        <w:rPr>
          <w:rFonts w:ascii="Times New Roman" w:hAnsi="Times New Roman"/>
          <w:b w:val="false"/>
          <w:i w:val="false"/>
          <w:color w:val="000000"/>
          <w:sz w:val="22"/>
        </w:rPr>
        <w:t>Exception: A storage tank larger than 1,000 gallons capacity may be used pursuant to this subrule if the facility has received specific written approval from the department for its use. In reviewing such a request, the department will consider but is not limited to considering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Volume of throughput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Ability to meet setback requirements appropriate to the size of the tanks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282.6(6)</w:t>
      </w:r>
      <w:r>
        <w:rPr>
          <w:rFonts w:ascii="Times New Roman" w:hAnsi="Times New Roman"/>
          <w:b w:val="false"/>
          <w:i w:val="false"/>
          <w:color w:val="000000"/>
          <w:sz w:val="22"/>
        </w:rPr>
        <w:t> </w:t>
      </w:r>
      <w:r>
        <w:rPr>
          <w:rFonts w:ascii="Times New Roman" w:hAnsi="Times New Roman"/>
          <w:b w:val="false"/>
          <w:i w:val="false"/>
          <w:color w:val="000000"/>
          <w:sz w:val="22"/>
        </w:rPr>
        <w:t xml:space="preserve">All electrical service proximate to the storage area will comply with applicable provisions of NFPA 70, National Electrical Code, as adopted in </w:t>
      </w:r>
      <w:hyperlink r:id="rId20">
        <w:r>
          <w:rPr>
            <w:rStyle w:val="Hyperlink"/>
            <w:rFonts w:ascii="Times New Roman" w:hAnsi="Times New Roman"/>
            <w:b w:val="false"/>
            <w:i w:val="false"/>
            <w:color w:val="000000"/>
            <w:sz w:val="22"/>
          </w:rPr>
          <w:t>481—Chapter 404</w:t>
        </w:r>
      </w:hyperlink>
      <w:r>
        <w:rPr>
          <w:rFonts w:ascii="Times New Roman" w:hAnsi="Times New Roman"/>
          <w:b w:val="false"/>
          <w:i w:val="false"/>
          <w:color w:val="000000"/>
          <w:sz w:val="22"/>
        </w:rPr>
        <w:t>. An emergency shutoff control or electrical disconnect shall be installed no less than 20 feet nor more than 100 feet from any fuel-dispensing device at the facility and be clearly marked “Emergency Shutoff.”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282.6(7)</w:t>
      </w:r>
      <w:r>
        <w:rPr>
          <w:rFonts w:ascii="Times New Roman" w:hAnsi="Times New Roman"/>
          <w:b w:val="false"/>
          <w:i w:val="false"/>
          <w:color w:val="000000"/>
          <w:sz w:val="22"/>
        </w:rPr>
        <w:t> </w:t>
      </w:r>
      <w:r>
        <w:rPr>
          <w:rFonts w:ascii="Times New Roman" w:hAnsi="Times New Roman"/>
          <w:b w:val="false"/>
          <w:i w:val="false"/>
          <w:color w:val="000000"/>
          <w:sz w:val="22"/>
        </w:rPr>
        <w:t>A 20-pound fire extinguisher with a minimum B:C rating of 40 shall be located no more than 50 feet from the location of any storage tank being used in compliance with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282.6(8)</w:t>
      </w:r>
      <w:r>
        <w:rPr>
          <w:rFonts w:ascii="Times New Roman" w:hAnsi="Times New Roman"/>
          <w:b w:val="false"/>
          <w:i w:val="false"/>
          <w:color w:val="000000"/>
          <w:sz w:val="22"/>
        </w:rPr>
        <w:t> </w:t>
      </w:r>
      <w:r>
        <w:rPr>
          <w:rFonts w:ascii="Times New Roman" w:hAnsi="Times New Roman"/>
          <w:b w:val="false"/>
          <w:i w:val="false"/>
          <w:color w:val="000000"/>
          <w:sz w:val="22"/>
        </w:rPr>
        <w:t>Precautions shall be taken to prevent the ignition of flammable or combustible liquids, including the conspicuous posting of warning signs saying, “NO SMOKING” and “NO OPEN FLAME.”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282.6(9)</w:t>
      </w:r>
      <w:r>
        <w:rPr>
          <w:rFonts w:ascii="Times New Roman" w:hAnsi="Times New Roman"/>
          <w:b w:val="false"/>
          <w:i w:val="false"/>
          <w:color w:val="000000"/>
          <w:sz w:val="22"/>
        </w:rPr>
        <w:t> </w:t>
      </w:r>
      <w:r>
        <w:rPr>
          <w:rFonts w:ascii="Times New Roman" w:hAnsi="Times New Roman"/>
          <w:b w:val="false"/>
          <w:i w:val="false"/>
          <w:color w:val="000000"/>
          <w:sz w:val="22"/>
        </w:rPr>
        <w:t>Aboveground flammable or combustible liquid storage tanks used pursuant to this subrule will be plumbed into existing dispensers, if practical. If this is impractical, all fueling at the facility shall be by attendant only; no self-service dispensing will be allowed at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282.6(10)</w:t>
      </w:r>
      <w:r>
        <w:rPr>
          <w:rFonts w:ascii="Times New Roman" w:hAnsi="Times New Roman"/>
          <w:b w:val="false"/>
          <w:i w:val="false"/>
          <w:color w:val="000000"/>
          <w:sz w:val="22"/>
        </w:rPr>
        <w:t> </w:t>
      </w:r>
      <w:r>
        <w:rPr>
          <w:rFonts w:ascii="Times New Roman" w:hAnsi="Times New Roman"/>
          <w:b w:val="false"/>
          <w:i w:val="false"/>
          <w:color w:val="000000"/>
          <w:sz w:val="22"/>
        </w:rPr>
        <w:t>Any aboveground flammable or combustible liquid storage tank used in compliance with this subrule shall be located so as to be protected from prospective damage from vehicle collisions and located with due regard to vehicular traffic patterns and the location of property lines and significant buildings, particularly those that are frequently occupied by humans.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9181C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481—282.7</w:t>
      </w:r>
      <w:r>
        <w:rPr>
          <w:rFonts w:ascii="Times New Roman" w:hAnsi="Times New Roman"/>
          <w:b/>
          <w:i w:val="false"/>
          <w:color w:val="000000"/>
          <w:sz w:val="22"/>
        </w:rPr>
        <w:t xml:space="preserve">(101) </w:t>
      </w:r>
      <w:r>
        <w:rPr>
          <w:rFonts w:ascii="Times New Roman" w:hAnsi="Times New Roman"/>
          <w:b/>
          <w:i w:val="false"/>
          <w:color w:val="000000"/>
          <w:sz w:val="22"/>
        </w:rPr>
        <w:t xml:space="preserve">Aircraft fueling. </w:t>
      </w:r>
      <w:r>
        <w:rPr>
          <w:rFonts w:ascii="Times New Roman" w:hAnsi="Times New Roman"/>
          <w:b w:val="false"/>
          <w:i w:val="false"/>
          <w:color w:val="000000"/>
          <w:sz w:val="22"/>
        </w:rPr>
        <w:t>The IFC, 2024 edition, published by the ICC, sections 2006 through 2006.21.1 and references contained therein, and NFPA 407, Standard for Aircraft Fuel Servicing, 2022 edition and references contained therein, are adopted by reference as the rules for aircraft fueling facilities. If any provision of the IFC adopted herein conflicts with any provision of NFPA 407, 2022 edition, the NFPA provision controls.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9181C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481—282.8</w:t>
      </w:r>
      <w:r>
        <w:rPr>
          <w:rFonts w:ascii="Times New Roman" w:hAnsi="Times New Roman"/>
          <w:b/>
          <w:i w:val="false"/>
          <w:color w:val="000000"/>
          <w:sz w:val="22"/>
        </w:rPr>
        <w:t xml:space="preserve">(101) </w:t>
      </w:r>
      <w:r>
        <w:rPr>
          <w:rFonts w:ascii="Times New Roman" w:hAnsi="Times New Roman"/>
          <w:b/>
          <w:i w:val="false"/>
          <w:color w:val="000000"/>
          <w:sz w:val="22"/>
        </w:rPr>
        <w:t xml:space="preserve">Helicopter fueling. </w:t>
      </w:r>
      <w:r>
        <w:rPr>
          <w:rFonts w:ascii="Times New Roman" w:hAnsi="Times New Roman"/>
          <w:b w:val="false"/>
          <w:i w:val="false"/>
          <w:color w:val="000000"/>
          <w:sz w:val="22"/>
        </w:rPr>
        <w:t>The IFC, 2024 edition, published by the ICC, sections 2007 through 2007.8 and references contained therein, is adopted by reference as the rules for helicopter fueling facilities.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9181C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481—282.9</w:t>
      </w:r>
      <w:r>
        <w:rPr>
          <w:rFonts w:ascii="Times New Roman" w:hAnsi="Times New Roman"/>
          <w:b/>
          <w:i w:val="false"/>
          <w:color w:val="000000"/>
          <w:sz w:val="22"/>
        </w:rPr>
        <w:t xml:space="preserve">(101) </w:t>
      </w:r>
      <w:r>
        <w:rPr>
          <w:rFonts w:ascii="Times New Roman" w:hAnsi="Times New Roman"/>
          <w:b/>
          <w:i w:val="false"/>
          <w:color w:val="000000"/>
          <w:sz w:val="22"/>
        </w:rPr>
        <w:t xml:space="preserve">Fuel-fired appliances. </w:t>
      </w:r>
      <w:r>
        <w:rPr>
          <w:rFonts w:ascii="Times New Roman" w:hAnsi="Times New Roman"/>
          <w:b w:val="false"/>
          <w:i w:val="false"/>
          <w:color w:val="000000"/>
          <w:sz w:val="22"/>
        </w:rPr>
        <w:t xml:space="preserve">The IFC, 2024 edition, published by the ICC, sections 605 through 605.8 and references contained therein, is adopted by reference as the rules for fuel-fired appliances, except for LP-gas fired appliances, which are subject to the provisions of </w:t>
      </w:r>
      <w:hyperlink r:id="rId21">
        <w:r>
          <w:rPr>
            <w:rStyle w:val="Hyperlink"/>
            <w:rFonts w:ascii="Times New Roman" w:hAnsi="Times New Roman"/>
            <w:b w:val="false"/>
            <w:i w:val="false"/>
            <w:color w:val="000000"/>
            <w:sz w:val="22"/>
          </w:rPr>
          <w:t>481—Chapter 286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9181C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481—282.10</w:t>
      </w:r>
      <w:r>
        <w:rPr>
          <w:rFonts w:ascii="Times New Roman" w:hAnsi="Times New Roman"/>
          <w:b/>
          <w:i w:val="false"/>
          <w:color w:val="000000"/>
          <w:sz w:val="22"/>
        </w:rPr>
        <w:t xml:space="preserve">(101) </w:t>
      </w:r>
      <w:r>
        <w:rPr>
          <w:rFonts w:ascii="Times New Roman" w:hAnsi="Times New Roman"/>
          <w:b/>
          <w:i w:val="false"/>
          <w:color w:val="000000"/>
          <w:sz w:val="22"/>
        </w:rPr>
        <w:t xml:space="preserve">Stationary combustion engines and gas turbines. </w:t>
      </w:r>
      <w:r>
        <w:rPr>
          <w:rFonts w:ascii="Times New Roman" w:hAnsi="Times New Roman"/>
          <w:b w:val="false"/>
          <w:i w:val="false"/>
          <w:color w:val="000000"/>
          <w:sz w:val="22"/>
        </w:rPr>
        <w:t>The IFC, 2024 edition, Chapter 6 and references contained therein, and NFPA 37, “Standard for the Installation and Use of Stationary Combustion Engines and Gas Turbines,” 2024 edition, are adopted by reference as the rules governing the installation and use of stationary combustion engines and gas turbines. If any provision of the IFC, 2024 edition, Chapter 6, adopted herein is in conflict with any provision of NFPA 37, 2024 edition, the IFC provision controls.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9181C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481—282.11</w:t>
      </w:r>
      <w:r>
        <w:rPr>
          <w:rFonts w:ascii="Times New Roman" w:hAnsi="Times New Roman"/>
          <w:b/>
          <w:i w:val="false"/>
          <w:color w:val="000000"/>
          <w:sz w:val="22"/>
        </w:rPr>
        <w:t xml:space="preserve">(101) </w:t>
      </w:r>
      <w:r>
        <w:rPr>
          <w:rFonts w:ascii="Times New Roman" w:hAnsi="Times New Roman"/>
          <w:b/>
          <w:i w:val="false"/>
          <w:color w:val="000000"/>
          <w:sz w:val="22"/>
        </w:rPr>
        <w:t xml:space="preserve">Plans and plan review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282.11(1)</w:t>
      </w:r>
      <w:r>
        <w:rPr>
          <w:rFonts w:ascii="Times New Roman" w:hAnsi="Times New Roman"/>
          <w:b w:val="false"/>
          <w:i w:val="false"/>
          <w:color w:val="000000"/>
          <w:sz w:val="22"/>
        </w:rPr>
        <w:t> </w:t>
      </w:r>
      <w:r>
        <w:rPr>
          <w:rFonts w:ascii="Times New Roman" w:hAnsi="Times New Roman"/>
          <w:b w:val="false"/>
          <w:i w:val="false"/>
          <w:color w:val="000000"/>
          <w:sz w:val="22"/>
        </w:rPr>
        <w:t>The owner of any premises on which flammable or combustible liquids are or will be stored or used is required to submit construction plans to the department, online or by mail, prior to commencing initial construction of the facility or prior to commencing any construction at an existing facility that includes the addition or replacement of an aboveground flammable or combustible liquid storage tank. The construction plans will be sealed by a licensed professional engineer if the facility at which the construction will occur is or will be a refinery or if preparation of the plans by a licensed professional engineer is required by another provision of Iowa law. Construction for which plans are required to be submitted for review will not commence until approval of the plan has been received from the department.</w:t>
      </w:r>
    </w:p>
    <w:p>
      <w:pPr>
        <w:spacing w:before="0" w:after="0"/>
        <w:ind w:left="120"/>
        <w:jc w:val="both"/>
      </w:pPr>
      <w:r>
        <w:rPr>
          <w:rFonts w:ascii="Times New Roman" w:hAnsi="Times New Roman"/>
          <w:b w:val="false"/>
          <w:i w:val="false"/>
          <w:color w:val="000000"/>
          <w:sz w:val="22"/>
        </w:rPr>
        <w:t>Exception 1: Submission of construction plans is not required if the total flammable or combustible liquid storage capacity on the premises is or will be 1,100 gallons or less.</w:t>
      </w:r>
    </w:p>
    <w:p>
      <w:pPr>
        <w:spacing w:before="0" w:after="0"/>
        <w:ind w:left="120"/>
        <w:jc w:val="both"/>
      </w:pPr>
      <w:r>
        <w:rPr>
          <w:rFonts w:ascii="Times New Roman" w:hAnsi="Times New Roman"/>
          <w:b w:val="false"/>
          <w:i w:val="false"/>
          <w:color w:val="000000"/>
          <w:sz w:val="22"/>
        </w:rPr>
        <w:t xml:space="preserve">Exception 2: If an SPCC plan has been prepared pursuant to 40 CFR 112 for a facility other than a refinery, a copy of the SPCC plan may be submitted to the department in lieu of submission of separate construction plans, provided that the SPCC plan includes all of the elements required to be included in construction plans for the specific facility in this subrule. If the department agrees, copies of portions of the SPCC plan may be submitted in lieu of a copy of the complete plan provided that all elements of construction plans that are required by this subrule for the specific facility are included. If an SPCC plan or portions thereof are submitted to the department, the person making the submission will provide any additional information required by the department to evaluate compliance with the provisions of this chapter and Iowa Code chapter </w:t>
      </w:r>
      <w:hyperlink r:id="rId22">
        <w:r>
          <w:rPr>
            <w:rStyle w:val="Hyperlink"/>
            <w:rFonts w:ascii="Times New Roman" w:hAnsi="Times New Roman"/>
            <w:b w:val="false"/>
            <w:i w:val="false"/>
            <w:color w:val="000000"/>
            <w:sz w:val="22"/>
          </w:rPr>
          <w:t>101</w:t>
        </w:r>
      </w:hyperlink>
      <w:r>
        <w:rPr>
          <w:rFonts w:ascii="Times New Roman" w:hAnsi="Times New Roman"/>
          <w:b w:val="false"/>
          <w:i w:val="false"/>
          <w:color w:val="000000"/>
          <w:sz w:val="22"/>
        </w:rPr>
        <w:t>. The copy of the SPCC plan or portions thereof submitted to the department will clearly identify the licensed professional engineer who prepared the plan or will be accompanied by a letter making this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282.11(2)</w:t>
      </w:r>
      <w:r>
        <w:rPr>
          <w:rFonts w:ascii="Times New Roman" w:hAnsi="Times New Roman"/>
          <w:b w:val="false"/>
          <w:i w:val="false"/>
          <w:color w:val="000000"/>
          <w:sz w:val="22"/>
        </w:rPr>
        <w:t> </w:t>
      </w:r>
      <w:r>
        <w:rPr>
          <w:rFonts w:ascii="Times New Roman" w:hAnsi="Times New Roman"/>
          <w:b w:val="false"/>
          <w:i w:val="false"/>
          <w:color w:val="000000"/>
          <w:sz w:val="22"/>
        </w:rPr>
        <w:t>Minimum requirements for plans submitted for review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Drawings showing the name of the person, firm, or corporation proposing the installation, the location, and the adjacent streets or highways.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refineries or bulk plants, drawings showing, in addition to any applicable features required under paragraphs </w:t>
      </w:r>
      <w:hyperlink r:id="rId23">
        <w:r>
          <w:rPr>
            <w:rStyle w:val="Hyperlink"/>
            <w:rFonts w:ascii="Times New Roman" w:hAnsi="Times New Roman"/>
            <w:b w:val="false"/>
            <w:i w:val="false"/>
            <w:color w:val="000000"/>
            <w:sz w:val="22"/>
          </w:rPr>
          <w:t>282.11(2)</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w:t>
      </w:r>
      <w:r>
        <w:rPr>
          <w:rFonts w:ascii="Times New Roman" w:hAnsi="Times New Roman"/>
          <w:b w:val="false"/>
          <w:i/>
          <w:color w:val="000000"/>
          <w:sz w:val="22"/>
        </w:rPr>
        <w:t>“e,”</w:t>
      </w:r>
      <w:r>
        <w:rPr>
          <w:rFonts w:ascii="Times New Roman" w:hAnsi="Times New Roman"/>
          <w:b w:val="false"/>
          <w:i w:val="false"/>
          <w:color w:val="000000"/>
          <w:sz w:val="22"/>
        </w:rPr>
        <w:t xml:space="preserve"> the plot of ground to be utilized and its immediate surroundings on all sides and a complete layout of buildings, tanks, loading and unloading docks, and heating devices,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service stations, drawings showing, in addition to any applicable features required under paragraphs </w:t>
      </w:r>
      <w:hyperlink r:id="rId24">
        <w:r>
          <w:rPr>
            <w:rStyle w:val="Hyperlink"/>
            <w:rFonts w:ascii="Times New Roman" w:hAnsi="Times New Roman"/>
            <w:b w:val="false"/>
            <w:i w:val="false"/>
            <w:color w:val="000000"/>
            <w:sz w:val="22"/>
          </w:rPr>
          <w:t>282.11(2)</w:t>
        </w:r>
      </w:hyperlink>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xml:space="preserve"> and </w:t>
      </w:r>
      <w:r>
        <w:rPr>
          <w:rFonts w:ascii="Times New Roman" w:hAnsi="Times New Roman"/>
          <w:b w:val="false"/>
          <w:i/>
          <w:color w:val="000000"/>
          <w:sz w:val="22"/>
        </w:rPr>
        <w:t>“f,”</w:t>
      </w:r>
      <w:r>
        <w:rPr>
          <w:rFonts w:ascii="Times New Roman" w:hAnsi="Times New Roman"/>
          <w:b w:val="false"/>
          <w:i w:val="false"/>
          <w:color w:val="000000"/>
          <w:sz w:val="22"/>
        </w:rPr>
        <w:t xml:space="preserve"> the plot of ground to be utilized; the complete layout of buildings, drives, dispensing equipment, and greasing or washing stalls; and the type and location of any heating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the case of aboveground storage, drawings showing the location and capacity of each tank; dimensions of each tank whose capacity exceeds 50,000 gallons, the class of liquid to be stored in each tank, the type of tank supports, the clearances, the type of venting and pressure relief relied upon and the combined capacity of all venting and pressure relief valves on each tank, and the tank control valves and the location of pumps and other facilities by which liquid is filled into or withdrawn from the tanks.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 the case of underground storage, drawings showing the location and capacity of each tank; the class of liquids to be stored; and the location of fill, gauge, vent pipes, openings, and clearances.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 the case of an installation for storage, handling, or use of flammable or combustible liquids within buildings or enclosures at any establishment or occupancy covered in this chapter, a drawing in detail sufficient to show whether applicable requirements are to be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282.11(3)</w:t>
      </w:r>
      <w:r>
        <w:rPr>
          <w:rFonts w:ascii="Times New Roman" w:hAnsi="Times New Roman"/>
          <w:b w:val="false"/>
          <w:i w:val="false"/>
          <w:color w:val="000000"/>
          <w:sz w:val="22"/>
        </w:rPr>
        <w:t> </w:t>
      </w:r>
      <w:r>
        <w:rPr>
          <w:rFonts w:ascii="Times New Roman" w:hAnsi="Times New Roman"/>
          <w:b w:val="false"/>
          <w:i w:val="false"/>
          <w:color w:val="000000"/>
          <w:sz w:val="22"/>
        </w:rPr>
        <w:t>Fees for plan reviews apply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$100 plus $25 for each new or replacement tank included in the plan, for any site or facility at which flammable or combustible liquids are or will be stored, except for new construction of a refinery.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$500 for review of the initial construction plans of a refinery if the projected construction costs are $100,000,000 or less and $1,000 for the initial construction plans for a refinery if the projected construction costs are greater than $100,000,000.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282.11(4)</w:t>
      </w:r>
      <w:r>
        <w:rPr>
          <w:rFonts w:ascii="Times New Roman" w:hAnsi="Times New Roman"/>
          <w:b w:val="false"/>
          <w:i w:val="false"/>
          <w:color w:val="000000"/>
          <w:sz w:val="22"/>
        </w:rPr>
        <w:t> </w:t>
      </w:r>
      <w:r>
        <w:rPr>
          <w:rFonts w:ascii="Times New Roman" w:hAnsi="Times New Roman"/>
          <w:b w:val="false"/>
          <w:i w:val="false"/>
          <w:color w:val="000000"/>
          <w:sz w:val="22"/>
        </w:rPr>
        <w:t>The owner will submit payment of plan review fees electronically or in the form of a check, money order, or warrant payable to the department. Payment will not be made in cash.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9181C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481—282.12</w:t>
      </w:r>
      <w:r>
        <w:rPr>
          <w:rFonts w:ascii="Times New Roman" w:hAnsi="Times New Roman"/>
          <w:b/>
          <w:i w:val="false"/>
          <w:color w:val="000000"/>
          <w:sz w:val="22"/>
        </w:rPr>
        <w:t xml:space="preserve">(101) </w:t>
      </w:r>
      <w:r>
        <w:rPr>
          <w:rFonts w:ascii="Times New Roman" w:hAnsi="Times New Roman"/>
          <w:b/>
          <w:i w:val="false"/>
          <w:color w:val="000000"/>
          <w:sz w:val="22"/>
        </w:rPr>
        <w:t xml:space="preserve">Approval of plans. </w:t>
      </w:r>
      <w:r>
        <w:rPr>
          <w:rFonts w:ascii="Times New Roman" w:hAnsi="Times New Roman"/>
          <w:b w:val="false"/>
          <w:i w:val="false"/>
          <w:color w:val="000000"/>
          <w:sz w:val="22"/>
        </w:rPr>
        <w:t>A registration tag for a new aboveground storage tank will not be issued prior to approval by the department of plans for the installation of the tank and payment of the required plan review and registration fee. The department may require inspection of the tank and payment of an inspection fee prior to use of the tank.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9181C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481—282.13</w:t>
      </w:r>
      <w:r>
        <w:rPr>
          <w:rFonts w:ascii="Times New Roman" w:hAnsi="Times New Roman"/>
          <w:b/>
          <w:i w:val="false"/>
          <w:color w:val="000000"/>
          <w:sz w:val="22"/>
        </w:rPr>
        <w:t xml:space="preserve">(101) </w:t>
      </w:r>
      <w:r>
        <w:rPr>
          <w:rFonts w:ascii="Times New Roman" w:hAnsi="Times New Roman"/>
          <w:b/>
          <w:i w:val="false"/>
          <w:color w:val="000000"/>
          <w:sz w:val="22"/>
        </w:rPr>
        <w:t xml:space="preserve">Inspections. </w:t>
      </w:r>
      <w:r>
        <w:rPr>
          <w:rFonts w:ascii="Times New Roman" w:hAnsi="Times New Roman"/>
          <w:b w:val="false"/>
          <w:i w:val="false"/>
          <w:color w:val="000000"/>
          <w:sz w:val="22"/>
        </w:rPr>
        <w:t>Any facility at which flammable or combustible liquids are stored is subject to inspection by an employee of the department during the regular business hours of the facility or within four hours of notifying the owner of intent to inspect the facility. Inspections may be initiated by the department or designee at random or on any other basis; may be conducted at the request of the owner, operator, or manager of a facility; or may be conducted to investigate allegations made in a complaint. Complaints should be in writing and submitted to the department and specify the location and nature of the alleged violations.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9181C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481—282.14</w:t>
      </w:r>
      <w:r>
        <w:rPr>
          <w:rFonts w:ascii="Times New Roman" w:hAnsi="Times New Roman"/>
          <w:b/>
          <w:i w:val="false"/>
          <w:color w:val="000000"/>
          <w:sz w:val="22"/>
        </w:rPr>
        <w:t xml:space="preserve">(101) </w:t>
      </w:r>
      <w:r>
        <w:rPr>
          <w:rFonts w:ascii="Times New Roman" w:hAnsi="Times New Roman"/>
          <w:b/>
          <w:i w:val="false"/>
          <w:color w:val="000000"/>
          <w:sz w:val="22"/>
        </w:rPr>
        <w:t xml:space="preserve">Registration of existing and new tanks—fees. </w:t>
      </w:r>
      <w:r>
        <w:rPr>
          <w:rFonts w:ascii="Times New Roman" w:hAnsi="Times New Roman"/>
          <w:b w:val="false"/>
          <w:i w:val="false"/>
          <w:color w:val="000000"/>
          <w:sz w:val="22"/>
        </w:rPr>
        <w:t xml:space="preserve">All existing, new, replacement, and out-of-service aboveground tanks of 1,101-gallon capacity or greater shall be registered with the department as follows: aboveground tanks used to store flammable or combustible liquids, as defined in Iowa Code section </w:t>
      </w:r>
      <w:hyperlink r:id="rId25">
        <w:r>
          <w:rPr>
            <w:rStyle w:val="Hyperlink"/>
            <w:rFonts w:ascii="Times New Roman" w:hAnsi="Times New Roman"/>
            <w:b w:val="false"/>
            <w:i w:val="false"/>
            <w:color w:val="000000"/>
            <w:sz w:val="22"/>
          </w:rPr>
          <w:t>455B.471</w:t>
        </w:r>
      </w:hyperlink>
      <w:r>
        <w:rPr>
          <w:rFonts w:ascii="Times New Roman" w:hAnsi="Times New Roman"/>
          <w:b w:val="false"/>
          <w:i w:val="false"/>
          <w:color w:val="000000"/>
          <w:sz w:val="22"/>
        </w:rPr>
        <w:t>, including but not limited to crude oil, heating oil offered for resale, motor fuels and oils such as gasoline, diesel fuels and motor oil; and tanks and are used, or planned for use, to store blended fuels, which include either gasoline or diesel.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282.14(1)</w:t>
      </w:r>
      <w:r>
        <w:rPr>
          <w:rFonts w:ascii="Times New Roman" w:hAnsi="Times New Roman"/>
          <w:b w:val="false"/>
          <w:i w:val="false"/>
          <w:color w:val="000000"/>
          <w:sz w:val="22"/>
        </w:rPr>
        <w:t> </w:t>
      </w:r>
      <w:r>
        <w:rPr>
          <w:rFonts w:ascii="Times New Roman" w:hAnsi="Times New Roman"/>
          <w:b w:val="false"/>
          <w:i/>
          <w:color w:val="000000"/>
          <w:sz w:val="22"/>
        </w:rPr>
        <w:t xml:space="preserve">Registration form. </w:t>
      </w:r>
      <w:r>
        <w:rPr>
          <w:rFonts w:ascii="Times New Roman" w:hAnsi="Times New Roman"/>
          <w:b w:val="false"/>
          <w:i w:val="false"/>
          <w:color w:val="000000"/>
          <w:sz w:val="22"/>
        </w:rPr>
        <w:t>Registration forms for aboveground storage tanks may be obtained from the department. A completed registration form shall be submitted to the department, online or by mail by the date on which it is due, and accompanied by the applicable fee, including any applicable late charges.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282.14(2)</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 xml:space="preserve">Registration fees and late fees are set forth in Iowa Code section </w:t>
      </w:r>
      <w:hyperlink r:id="rId26">
        <w:r>
          <w:rPr>
            <w:rStyle w:val="Hyperlink"/>
            <w:rFonts w:ascii="Times New Roman" w:hAnsi="Times New Roman"/>
            <w:b w:val="false"/>
            <w:i w:val="false"/>
            <w:color w:val="000000"/>
            <w:sz w:val="22"/>
          </w:rPr>
          <w:t>101.22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282.14(3)</w:t>
      </w:r>
      <w:r>
        <w:rPr>
          <w:rFonts w:ascii="Times New Roman" w:hAnsi="Times New Roman"/>
          <w:b w:val="false"/>
          <w:i w:val="false"/>
          <w:color w:val="000000"/>
          <w:sz w:val="22"/>
        </w:rPr>
        <w:t> </w:t>
      </w:r>
      <w:r>
        <w:rPr>
          <w:rFonts w:ascii="Times New Roman" w:hAnsi="Times New Roman"/>
          <w:b w:val="false"/>
          <w:i/>
          <w:color w:val="000000"/>
          <w:sz w:val="22"/>
        </w:rPr>
        <w:t xml:space="preserve">Registration deadline. </w:t>
      </w:r>
      <w:r>
        <w:rPr>
          <w:rFonts w:ascii="Times New Roman" w:hAnsi="Times New Roman"/>
          <w:b w:val="false"/>
          <w:i w:val="false"/>
          <w:color w:val="000000"/>
          <w:sz w:val="22"/>
        </w:rPr>
        <w:t>Each tank shall be registered annually by October 1 of each year.</w:t>
      </w:r>
    </w:p>
    <w:p>
      <w:pPr>
        <w:spacing w:before="0" w:after="0"/>
        <w:ind w:left="120"/>
        <w:jc w:val="both"/>
      </w:pPr>
      <w:r>
        <w:rPr>
          <w:rFonts w:ascii="Times New Roman" w:hAnsi="Times New Roman"/>
          <w:b w:val="false"/>
          <w:i w:val="false"/>
          <w:color w:val="000000"/>
          <w:sz w:val="22"/>
        </w:rPr>
        <w:t>Exception: A tank may be registered for the first time on any date without penalty, provided that it has not previously been in use to store flammable or combustible liquids. A tank that is registered for the first time shall not be used to store flammable or combustible liquid until the registration has been completed and the registration tag has been attached to the tank.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282.14(4)</w:t>
      </w:r>
      <w:r>
        <w:rPr>
          <w:rFonts w:ascii="Times New Roman" w:hAnsi="Times New Roman"/>
          <w:b w:val="false"/>
          <w:i w:val="false"/>
          <w:color w:val="000000"/>
          <w:sz w:val="22"/>
        </w:rPr>
        <w:t> </w:t>
      </w:r>
      <w:r>
        <w:rPr>
          <w:rFonts w:ascii="Times New Roman" w:hAnsi="Times New Roman"/>
          <w:b w:val="false"/>
          <w:i/>
          <w:color w:val="000000"/>
          <w:sz w:val="22"/>
        </w:rPr>
        <w:t xml:space="preserve">Payment. </w:t>
      </w:r>
      <w:r>
        <w:rPr>
          <w:rFonts w:ascii="Times New Roman" w:hAnsi="Times New Roman"/>
          <w:b w:val="false"/>
          <w:i w:val="false"/>
          <w:color w:val="000000"/>
          <w:sz w:val="22"/>
        </w:rPr>
        <w:t>The registration fee, and any applicable late fee, may be submitted electronically or by draft, check, or money order payable to the department. Payment cannot be made in cash.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9181C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481—282.15</w:t>
      </w:r>
      <w:r>
        <w:rPr>
          <w:rFonts w:ascii="Times New Roman" w:hAnsi="Times New Roman"/>
          <w:b/>
          <w:i w:val="false"/>
          <w:color w:val="000000"/>
          <w:sz w:val="22"/>
        </w:rPr>
        <w:t xml:space="preserve">(101) </w:t>
      </w:r>
      <w:r>
        <w:rPr>
          <w:rFonts w:ascii="Times New Roman" w:hAnsi="Times New Roman"/>
          <w:b/>
          <w:i w:val="false"/>
          <w:color w:val="000000"/>
          <w:sz w:val="22"/>
        </w:rPr>
        <w:t xml:space="preserve">Inspections and orders.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282.15(1)</w:t>
      </w:r>
      <w:r>
        <w:rPr>
          <w:rFonts w:ascii="Times New Roman" w:hAnsi="Times New Roman"/>
          <w:b w:val="false"/>
          <w:i w:val="false"/>
          <w:color w:val="000000"/>
          <w:sz w:val="22"/>
        </w:rPr>
        <w:t> </w:t>
      </w:r>
      <w:r>
        <w:rPr>
          <w:rFonts w:ascii="Times New Roman" w:hAnsi="Times New Roman"/>
          <w:b w:val="false"/>
          <w:i/>
          <w:color w:val="000000"/>
          <w:sz w:val="22"/>
        </w:rPr>
        <w:t xml:space="preserve">Inspections. </w:t>
      </w:r>
      <w:r>
        <w:rPr>
          <w:rFonts w:ascii="Times New Roman" w:hAnsi="Times New Roman"/>
          <w:b w:val="false"/>
          <w:i w:val="false"/>
          <w:color w:val="000000"/>
          <w:sz w:val="22"/>
        </w:rPr>
        <w:t>Any tank is subject to inspection at any time by the department, an employee of the department, a local fire chief, or any member of the local fire department designated by the local fire chief. Any of the persons listed who seeks to inspect a tank pursuant to this rule shall, upon request, be allowed access to any facility in which a tank or tanks are located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any time such a facility is attended, immediate access to the facility to the person who requests access to the facility in order to conduct an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facility is unattended, the person who seeks to conduct the inspection will notify the owner or operator of the facility. During regular business hours, or between 8 a.m. and 4 p.m. Monday through Friday, access shall be allowed within one hour of notification. If access is sought other than during regular business hours, access will be provided at 8 a.m. on the next weekday other than a holiday;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person who seeks access to the facility indicates that access is being sought to investigate an emergency or potential emergency, the owner of the facility will provide access within one hour of receiving the request, regardless of the time of day or day of the week when the request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282.15(2)</w:t>
      </w:r>
      <w:r>
        <w:rPr>
          <w:rFonts w:ascii="Times New Roman" w:hAnsi="Times New Roman"/>
          <w:b w:val="false"/>
          <w:i w:val="false"/>
          <w:color w:val="000000"/>
          <w:sz w:val="22"/>
        </w:rPr>
        <w:t> </w:t>
      </w:r>
      <w:r>
        <w:rPr>
          <w:rFonts w:ascii="Times New Roman" w:hAnsi="Times New Roman"/>
          <w:b w:val="false"/>
          <w:i/>
          <w:color w:val="000000"/>
          <w:sz w:val="22"/>
        </w:rPr>
        <w:t xml:space="preserve">Orders. </w:t>
      </w:r>
      <w:r>
        <w:rPr>
          <w:rFonts w:ascii="Times New Roman" w:hAnsi="Times New Roman"/>
          <w:b w:val="false"/>
          <w:i w:val="false"/>
          <w:color w:val="000000"/>
          <w:sz w:val="22"/>
        </w:rPr>
        <w:t xml:space="preserve">If the person who conducts an inspection pursuant to this chapter finds that a tank is in violation of any applicable provision of this chapter or Iowa Code chapter </w:t>
      </w:r>
      <w:hyperlink r:id="rId27">
        <w:r>
          <w:rPr>
            <w:rStyle w:val="Hyperlink"/>
            <w:rFonts w:ascii="Times New Roman" w:hAnsi="Times New Roman"/>
            <w:b w:val="false"/>
            <w:i w:val="false"/>
            <w:color w:val="000000"/>
            <w:sz w:val="22"/>
          </w:rPr>
          <w:t>101</w:t>
        </w:r>
      </w:hyperlink>
      <w:r>
        <w:rPr>
          <w:rFonts w:ascii="Times New Roman" w:hAnsi="Times New Roman"/>
          <w:b w:val="false"/>
          <w:i w:val="false"/>
          <w:color w:val="000000"/>
          <w:sz w:val="22"/>
        </w:rPr>
        <w:t>, the person may issue an order for correction. The order will specify the violation or violations, corrective actions to be taken, and the time allowed for completion of the corrective actions.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282.15(3)</w:t>
      </w:r>
      <w:r>
        <w:rPr>
          <w:rFonts w:ascii="Times New Roman" w:hAnsi="Times New Roman"/>
          <w:b w:val="false"/>
          <w:i w:val="false"/>
          <w:color w:val="000000"/>
          <w:sz w:val="22"/>
        </w:rPr>
        <w:t> </w:t>
      </w:r>
      <w:r>
        <w:rPr>
          <w:rFonts w:ascii="Times New Roman" w:hAnsi="Times New Roman"/>
          <w:b w:val="false"/>
          <w:i/>
          <w:color w:val="000000"/>
          <w:sz w:val="22"/>
        </w:rPr>
        <w:t xml:space="preserve">Suspension of use. </w:t>
      </w:r>
      <w:r>
        <w:rPr>
          <w:rFonts w:ascii="Times New Roman" w:hAnsi="Times New Roman"/>
          <w:b w:val="false"/>
          <w:i w:val="false"/>
          <w:color w:val="000000"/>
          <w:sz w:val="22"/>
        </w:rPr>
        <w:t xml:space="preserve">If any corrective action ordered pursuant to subrule </w:t>
      </w:r>
      <w:hyperlink r:id="rId28">
        <w:r>
          <w:rPr>
            <w:rStyle w:val="Hyperlink"/>
            <w:rFonts w:ascii="Times New Roman" w:hAnsi="Times New Roman"/>
            <w:b w:val="false"/>
            <w:i w:val="false"/>
            <w:color w:val="000000"/>
            <w:sz w:val="22"/>
          </w:rPr>
          <w:t>282.15(2)</w:t>
        </w:r>
      </w:hyperlink>
      <w:r>
        <w:rPr>
          <w:rFonts w:ascii="Times New Roman" w:hAnsi="Times New Roman"/>
          <w:b w:val="false"/>
          <w:i w:val="false"/>
          <w:color w:val="000000"/>
          <w:sz w:val="22"/>
        </w:rPr>
        <w:t xml:space="preserve"> is not completed in the time specified therein, the department may order that the tank be placed out of service until the corrective action or actions have been completed. If a tank is ordered to be placed out of service pursuant to this subrule, the tank will have a sticker prominently affixed to it that states that the tank is out of service by order of the department and that it is a violation of law to transfer any flammable or combustible liquid into the tank.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282.15(4)</w:t>
      </w:r>
      <w:r>
        <w:rPr>
          <w:rFonts w:ascii="Times New Roman" w:hAnsi="Times New Roman"/>
          <w:b w:val="false"/>
          <w:i w:val="false"/>
          <w:color w:val="000000"/>
          <w:sz w:val="22"/>
        </w:rPr>
        <w:t> </w:t>
      </w:r>
      <w:r>
        <w:rPr>
          <w:rFonts w:ascii="Times New Roman" w:hAnsi="Times New Roman"/>
          <w:b w:val="false"/>
          <w:i/>
          <w:color w:val="000000"/>
          <w:sz w:val="22"/>
        </w:rPr>
        <w:t xml:space="preserve">Emergency order. </w:t>
      </w:r>
      <w:r>
        <w:rPr>
          <w:rFonts w:ascii="Times New Roman" w:hAnsi="Times New Roman"/>
          <w:b w:val="false"/>
          <w:i w:val="false"/>
          <w:color w:val="000000"/>
          <w:sz w:val="22"/>
        </w:rPr>
        <w:t xml:space="preserve">If the department finds that a violation identified during an inspection conducted pursuant to subrule </w:t>
      </w:r>
      <w:hyperlink r:id="rId29">
        <w:r>
          <w:rPr>
            <w:rStyle w:val="Hyperlink"/>
            <w:rFonts w:ascii="Times New Roman" w:hAnsi="Times New Roman"/>
            <w:b w:val="false"/>
            <w:i w:val="false"/>
            <w:color w:val="000000"/>
            <w:sz w:val="22"/>
          </w:rPr>
          <w:t>282.15(1)</w:t>
        </w:r>
      </w:hyperlink>
      <w:r>
        <w:rPr>
          <w:rFonts w:ascii="Times New Roman" w:hAnsi="Times New Roman"/>
          <w:b w:val="false"/>
          <w:i w:val="false"/>
          <w:color w:val="000000"/>
          <w:sz w:val="22"/>
        </w:rPr>
        <w:t xml:space="preserve"> creates an imminent threat to public safety or public health, or if the department finds, after consultation with the department of natural resources, that such a violation creates an imminent threat of environmental damage, the department will order that the tank be placed out of service immediately and may order that the tank be evacuated of liquid and purged of vapors. If a tank is ordered to be placed out of service pursuant to this subrule, the tank will have a sticker prominently affixed to it that states that the tank is out of service by order of the department and that it is a violation of law to transfer any flammable or combustible liquid into the tank.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282.15(5)</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 xml:space="preserve">Notice of any order issued pursuant to this rule will be given to the owner or operator of a tank subject to the order. Notice of an emergency order issued pursuant to subrule </w:t>
      </w:r>
      <w:hyperlink r:id="rId30">
        <w:r>
          <w:rPr>
            <w:rStyle w:val="Hyperlink"/>
            <w:rFonts w:ascii="Times New Roman" w:hAnsi="Times New Roman"/>
            <w:b w:val="false"/>
            <w:i w:val="false"/>
            <w:color w:val="000000"/>
            <w:sz w:val="22"/>
          </w:rPr>
          <w:t>282.15(4)</w:t>
        </w:r>
      </w:hyperlink>
      <w:r>
        <w:rPr>
          <w:rFonts w:ascii="Times New Roman" w:hAnsi="Times New Roman"/>
          <w:b w:val="false"/>
          <w:i w:val="false"/>
          <w:color w:val="000000"/>
          <w:sz w:val="22"/>
        </w:rPr>
        <w:t xml:space="preserve"> will be given by personal service. Notice of any other order issued pursuant to this rule may be given by regular mail, electronic mail, or personal service.</w:t>
      </w:r>
    </w:p>
    <w:p>
      <w:pPr>
        <w:spacing w:before="0" w:after="0"/>
        <w:ind w:left="120"/>
        <w:jc w:val="both"/>
      </w:pPr>
      <w:r>
        <w:rPr>
          <w:rFonts w:ascii="Times New Roman" w:hAnsi="Times New Roman"/>
          <w:b w:val="false"/>
          <w:i w:val="false"/>
          <w:color w:val="000000"/>
          <w:sz w:val="22"/>
        </w:rPr>
        <w:t>Exception: If the owner of a tank subject to an order issued pursuant to this rule is unknown or cannot be located, notice will be considered to have been given if the notice is served personally to any person at the location of the tank or, if no person is present, by affixing the notice to the tank. Alternatively, notice may be given by mailing the notice to the address at which the tank is located, with a return receipt requested. Notification from the United States Postal Service that delivery was attempted unsuccessfully or that delivery was refused will serve as proof that notice was given.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9181C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481—282.16</w:t>
      </w:r>
      <w:r>
        <w:rPr>
          <w:rFonts w:ascii="Times New Roman" w:hAnsi="Times New Roman"/>
          <w:b/>
          <w:i w:val="false"/>
          <w:color w:val="000000"/>
          <w:sz w:val="22"/>
        </w:rPr>
        <w:t xml:space="preserve">(101) </w:t>
      </w:r>
      <w:r>
        <w:rPr>
          <w:rFonts w:ascii="Times New Roman" w:hAnsi="Times New Roman"/>
          <w:b/>
          <w:i w:val="false"/>
          <w:color w:val="000000"/>
          <w:sz w:val="22"/>
        </w:rPr>
        <w:t xml:space="preserve">Leaks, spills, or damage. </w:t>
      </w:r>
      <w:r>
        <w:rPr>
          <w:rFonts w:ascii="Times New Roman" w:hAnsi="Times New Roman"/>
          <w:b w:val="false"/>
          <w:i w:val="false"/>
          <w:color w:val="000000"/>
          <w:sz w:val="22"/>
        </w:rPr>
        <w:t>Any leak from, spill from, or damage to a storage tank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282.16(1)</w:t>
      </w:r>
      <w:r>
        <w:rPr>
          <w:rFonts w:ascii="Times New Roman" w:hAnsi="Times New Roman"/>
          <w:b w:val="false"/>
          <w:i w:val="false"/>
          <w:color w:val="000000"/>
          <w:sz w:val="22"/>
        </w:rPr>
        <w:t> </w:t>
      </w:r>
      <w:r>
        <w:rPr>
          <w:rFonts w:ascii="Times New Roman" w:hAnsi="Times New Roman"/>
          <w:b w:val="false"/>
          <w:i w:val="false"/>
          <w:color w:val="000000"/>
          <w:sz w:val="22"/>
        </w:rPr>
        <w:t>Be reported to the local fire department and, if required by law, to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282.16(2)</w:t>
      </w:r>
      <w:r>
        <w:rPr>
          <w:rFonts w:ascii="Times New Roman" w:hAnsi="Times New Roman"/>
          <w:b w:val="false"/>
          <w:i w:val="false"/>
          <w:color w:val="000000"/>
          <w:sz w:val="22"/>
        </w:rPr>
        <w:t> </w:t>
      </w:r>
      <w:r>
        <w:rPr>
          <w:rFonts w:ascii="Times New Roman" w:hAnsi="Times New Roman"/>
          <w:b w:val="false"/>
          <w:i w:val="false"/>
          <w:color w:val="000000"/>
          <w:sz w:val="22"/>
        </w:rPr>
        <w:t>Be placed out of service until the leak or damage has been repaired.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282.16(3)</w:t>
      </w:r>
      <w:r>
        <w:rPr>
          <w:rFonts w:ascii="Times New Roman" w:hAnsi="Times New Roman"/>
          <w:b w:val="false"/>
          <w:i w:val="false"/>
          <w:color w:val="000000"/>
          <w:sz w:val="22"/>
        </w:rPr>
        <w:t> </w:t>
      </w:r>
      <w:r>
        <w:rPr>
          <w:rFonts w:ascii="Times New Roman" w:hAnsi="Times New Roman"/>
          <w:b w:val="false"/>
          <w:i w:val="false"/>
          <w:color w:val="000000"/>
          <w:sz w:val="22"/>
        </w:rPr>
        <w:t>Have a sign placed prominently on the tank stating that the tank is out of service and that no flammable or combustible liquid shall be placed into the tank until required repairs have been completed.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9181C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481—282.17</w:t>
      </w:r>
      <w:r>
        <w:rPr>
          <w:rFonts w:ascii="Times New Roman" w:hAnsi="Times New Roman"/>
          <w:b/>
          <w:i w:val="false"/>
          <w:color w:val="000000"/>
          <w:sz w:val="22"/>
        </w:rPr>
        <w:t xml:space="preserve">(101) </w:t>
      </w:r>
      <w:r>
        <w:rPr>
          <w:rFonts w:ascii="Times New Roman" w:hAnsi="Times New Roman"/>
          <w:b/>
          <w:i w:val="false"/>
          <w:color w:val="000000"/>
          <w:sz w:val="22"/>
        </w:rPr>
        <w:t xml:space="preserve">Civil penalty. </w:t>
      </w:r>
      <w:r>
        <w:rPr>
          <w:rFonts w:ascii="Times New Roman" w:hAnsi="Times New Roman"/>
          <w:b w:val="false"/>
          <w:i w:val="false"/>
          <w:color w:val="000000"/>
          <w:sz w:val="22"/>
        </w:rPr>
        <w:t xml:space="preserve">The department may impose a civil penalty in accordance with Iowa Code section </w:t>
      </w:r>
      <w:hyperlink r:id="rId31">
        <w:r>
          <w:rPr>
            <w:rStyle w:val="Hyperlink"/>
            <w:rFonts w:ascii="Times New Roman" w:hAnsi="Times New Roman"/>
            <w:b w:val="false"/>
            <w:i w:val="false"/>
            <w:color w:val="000000"/>
            <w:sz w:val="22"/>
          </w:rPr>
          <w:t>101.26</w:t>
        </w:r>
      </w:hyperlink>
      <w:r>
        <w:rPr>
          <w:rFonts w:ascii="Times New Roman" w:hAnsi="Times New Roman"/>
          <w:b w:val="false"/>
          <w:i w:val="false"/>
          <w:color w:val="000000"/>
          <w:sz w:val="22"/>
        </w:rPr>
        <w:t xml:space="preserve"> upon the owner of a storage tank for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282.17(1)</w:t>
      </w:r>
      <w:r>
        <w:rPr>
          <w:rFonts w:ascii="Times New Roman" w:hAnsi="Times New Roman"/>
          <w:b w:val="false"/>
          <w:i w:val="false"/>
          <w:color w:val="000000"/>
          <w:sz w:val="22"/>
        </w:rPr>
        <w:t> </w:t>
      </w:r>
      <w:r>
        <w:rPr>
          <w:rFonts w:ascii="Times New Roman" w:hAnsi="Times New Roman"/>
          <w:b w:val="false"/>
          <w:i w:val="false"/>
          <w:color w:val="000000"/>
          <w:sz w:val="22"/>
        </w:rPr>
        <w:t>Failure to register a storage tank currently being used to store a flammable or combustible liquid if the registration is more than 30 days late.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282.17(2)</w:t>
      </w:r>
      <w:r>
        <w:rPr>
          <w:rFonts w:ascii="Times New Roman" w:hAnsi="Times New Roman"/>
          <w:b w:val="false"/>
          <w:i w:val="false"/>
          <w:color w:val="000000"/>
          <w:sz w:val="22"/>
        </w:rPr>
        <w:t> </w:t>
      </w:r>
      <w:r>
        <w:rPr>
          <w:rFonts w:ascii="Times New Roman" w:hAnsi="Times New Roman"/>
          <w:b w:val="false"/>
          <w:i w:val="false"/>
          <w:color w:val="000000"/>
          <w:sz w:val="22"/>
        </w:rPr>
        <w:t>Allowing any flammable or combustible liquid to be placed into a tank that has been ordered to be placed out of service and for which the order has not been rescinded or allowing any flammable or combustible liquid to be placed into any tank that has been damaged or is leaking, if the damage or leak has not been repaired.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9181C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481—282.18</w:t>
      </w:r>
      <w:r>
        <w:rPr>
          <w:rFonts w:ascii="Times New Roman" w:hAnsi="Times New Roman"/>
          <w:b/>
          <w:i w:val="false"/>
          <w:color w:val="000000"/>
          <w:sz w:val="22"/>
        </w:rPr>
        <w:t xml:space="preserve">(17A,101) </w:t>
      </w:r>
      <w:r>
        <w:rPr>
          <w:rFonts w:ascii="Times New Roman" w:hAnsi="Times New Roman"/>
          <w:b/>
          <w:i w:val="false"/>
          <w:color w:val="000000"/>
          <w:sz w:val="22"/>
        </w:rPr>
        <w:t xml:space="preserve">Appeals. </w:t>
      </w:r>
      <w:r>
        <w:rPr>
          <w:rFonts w:ascii="Times New Roman" w:hAnsi="Times New Roman"/>
          <w:b w:val="false"/>
          <w:i w:val="false"/>
          <w:color w:val="000000"/>
          <w:sz w:val="22"/>
        </w:rPr>
        <w:t xml:space="preserve">Any order or civil penalty issued pursuant to this chapter may be appealed by submitting a request for a contested case hearing to the department, in writing, within 30 days of receipt or service of the order or civil penalty. Contested cases are governed by </w:t>
      </w:r>
      <w:hyperlink r:id="rId32">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(contested cases) and </w:t>
      </w:r>
      <w:hyperlink r:id="rId33">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xml:space="preserve"> (rules of practice and procedure before the administrative hearings division). Any order or civil penalty appealed pursuant to this rule will be stayed until the issuance of a final agency decision.</w:t>
      </w:r>
    </w:p>
    <w:p>
      <w:pPr>
        <w:spacing w:before="0" w:after="0"/>
        <w:ind w:left="120"/>
        <w:jc w:val="both"/>
      </w:pPr>
      <w:r>
        <w:rPr>
          <w:rFonts w:ascii="Times New Roman" w:hAnsi="Times New Roman"/>
          <w:b w:val="false"/>
          <w:i w:val="false"/>
          <w:color w:val="000000"/>
          <w:sz w:val="22"/>
        </w:rPr>
        <w:t xml:space="preserve">Exception: An emergency order issued pursuant to subrule </w:t>
      </w:r>
      <w:hyperlink r:id="rId34">
        <w:r>
          <w:rPr>
            <w:rStyle w:val="Hyperlink"/>
            <w:rFonts w:ascii="Times New Roman" w:hAnsi="Times New Roman"/>
            <w:b w:val="false"/>
            <w:i w:val="false"/>
            <w:color w:val="000000"/>
            <w:sz w:val="22"/>
          </w:rPr>
          <w:t>282.15(4)</w:t>
        </w:r>
      </w:hyperlink>
      <w:r>
        <w:rPr>
          <w:rFonts w:ascii="Times New Roman" w:hAnsi="Times New Roman"/>
          <w:b w:val="false"/>
          <w:i w:val="false"/>
          <w:color w:val="000000"/>
          <w:sz w:val="22"/>
        </w:rPr>
        <w:t xml:space="preserve"> will not be stayed and will take effect immediately upon notification of the order to the owner of the tank.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9181C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35">
        <w:r>
          <w:rPr>
            <w:rStyle w:val="Hyperlink"/>
            <w:rFonts w:ascii="Times New Roman" w:hAnsi="Times New Roman"/>
            <w:b w:val="false"/>
            <w:i w:val="false"/>
            <w:color w:val="000000"/>
            <w:sz w:val="22"/>
          </w:rPr>
          <w:t>101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11/1/07, Notice 9/26/07—published 11/21/07, effective 1/1/08]</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6/25/08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7/16/08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7/21/08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3/26/08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8/13/08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 </w:t>
      </w:r>
      <w:r>
        <w:rPr>
          <w:rFonts w:ascii="Times New Roman" w:hAnsi="Times New Roman"/>
          <w:b w:val="false"/>
          <w:i w:val="false"/>
          <w:color w:val="000000"/>
          <w:sz w:val="21"/>
        </w:rPr>
        <w:t>[Filed Emergency After Notice ARC 7977B</w:t>
      </w:r>
      <w:r>
        <w:rPr>
          <w:rFonts w:ascii="Times New Roman" w:hAnsi="Times New Roman"/>
          <w:b w:val="false"/>
          <w:i w:val="false"/>
          <w:color w:val="000000"/>
          <w:sz w:val="21"/>
        </w:rPr>
        <w:t xml:space="preserve"> (Notice ARC 7772B, IAB 5/20/09)</w:t>
      </w:r>
      <w:r>
        <w:rPr>
          <w:rFonts w:ascii="Times New Roman" w:hAnsi="Times New Roman"/>
          <w:b w:val="false"/>
          <w:i w:val="false"/>
          <w:color w:val="000000"/>
          <w:sz w:val="21"/>
        </w:rPr>
        <w:t>, IAB 7/29/09, effective 7/2/09]</w:t>
      </w:r>
      <w:r>
        <w:rPr>
          <w:rFonts w:ascii="Times New Roman" w:hAnsi="Times New Roman"/>
          <w:b w:val="false"/>
          <w:i w:val="false"/>
          <w:color w:val="000000"/>
          <w:sz w:val="21"/>
        </w:rPr>
        <w:t xml:space="preserve"> </w:t>
      </w:r>
    </w:p>
    <w:p>
      <w:pPr>
        <w:spacing w:before="0" w:after="0"/>
        <w:ind w:left="120"/>
        <w:jc w:val="center"/>
      </w:pPr>
      <w:r>
        <w:rPr>
          <w:rFonts w:ascii="Times New Roman" w:hAnsi="Times New Roman"/>
          <w:b w:val="false"/>
          <w:i w:val="false"/>
          <w:color w:val="000000"/>
          <w:sz w:val="21"/>
        </w:rPr>
        <w:t xml:space="preserve"> </w:t>
      </w:r>
      <w:r>
        <w:rPr>
          <w:rFonts w:ascii="Times New Roman" w:hAnsi="Times New Roman"/>
          <w:b w:val="false"/>
          <w:i w:val="false"/>
          <w:color w:val="000000"/>
          <w:sz w:val="21"/>
        </w:rPr>
        <w:t>[Filed Emergency ARC 8114B, IAB 9/9/09, effective 9/1/09]</w:t>
      </w:r>
      <w:r>
        <w:rPr>
          <w:rFonts w:ascii="Times New Roman" w:hAnsi="Times New Roman"/>
          <w:b w:val="false"/>
          <w:i w:val="false"/>
          <w:color w:val="000000"/>
          <w:sz w:val="21"/>
        </w:rPr>
        <w:t xml:space="preserve"> </w:t>
      </w:r>
    </w:p>
    <w:p>
      <w:pPr>
        <w:spacing w:before="0" w:after="0"/>
        <w:ind w:left="120"/>
        <w:jc w:val="center"/>
      </w:pPr>
      <w:r>
        <w:rPr>
          <w:rFonts w:ascii="Times New Roman" w:hAnsi="Times New Roman"/>
          <w:b w:val="false"/>
          <w:i w:val="false"/>
          <w:color w:val="000000"/>
          <w:sz w:val="21"/>
        </w:rPr>
        <w:t xml:space="preserve"> </w:t>
      </w:r>
      <w:r>
        <w:rPr>
          <w:rFonts w:ascii="Times New Roman" w:hAnsi="Times New Roman"/>
          <w:b w:val="false"/>
          <w:i w:val="false"/>
          <w:color w:val="000000"/>
          <w:sz w:val="21"/>
        </w:rPr>
        <w:t>[Filed Emergency ARC 9283B, IAB 12/15/10, effective 12/1/10]</w:t>
      </w:r>
      <w:r>
        <w:rPr>
          <w:rFonts w:ascii="Times New Roman" w:hAnsi="Times New Roman"/>
          <w:b w:val="false"/>
          <w:i w:val="false"/>
          <w:color w:val="000000"/>
          <w:sz w:val="21"/>
        </w:rPr>
        <w:t xml:space="preserve"> </w:t>
      </w:r>
    </w:p>
    <w:p>
      <w:pPr>
        <w:spacing w:before="0" w:after="0"/>
        <w:ind w:left="120"/>
        <w:jc w:val="center"/>
      </w:pPr>
      <w:r>
        <w:rPr>
          <w:rFonts w:ascii="Times New Roman" w:hAnsi="Times New Roman"/>
          <w:b w:val="false"/>
          <w:i w:val="false"/>
          <w:color w:val="000000"/>
          <w:sz w:val="21"/>
        </w:rPr>
        <w:t xml:space="preserve"> </w:t>
      </w:r>
      <w:r>
        <w:rPr>
          <w:rFonts w:ascii="Times New Roman" w:hAnsi="Times New Roman"/>
          <w:b w:val="false"/>
          <w:i w:val="false"/>
          <w:color w:val="000000"/>
          <w:sz w:val="21"/>
        </w:rPr>
        <w:t>[Filed ARC 9620B</w:t>
      </w:r>
      <w:r>
        <w:rPr>
          <w:rFonts w:ascii="Times New Roman" w:hAnsi="Times New Roman"/>
          <w:b w:val="false"/>
          <w:i w:val="false"/>
          <w:color w:val="000000"/>
          <w:sz w:val="21"/>
        </w:rPr>
        <w:t xml:space="preserve"> (Notice ARC 9289B, IAB 12/15/10)</w:t>
      </w:r>
      <w:r>
        <w:rPr>
          <w:rFonts w:ascii="Times New Roman" w:hAnsi="Times New Roman"/>
          <w:b w:val="false"/>
          <w:i w:val="false"/>
          <w:color w:val="000000"/>
          <w:sz w:val="21"/>
        </w:rPr>
        <w:t>, IAB 7/27/11, effective 9/1/11]</w:t>
      </w:r>
      <w:r>
        <w:rPr>
          <w:rFonts w:ascii="Times New Roman" w:hAnsi="Times New Roman"/>
          <w:b w:val="false"/>
          <w:i w:val="false"/>
          <w:color w:val="000000"/>
          <w:sz w:val="21"/>
        </w:rPr>
        <w:t xml:space="preserve"> </w:t>
      </w:r>
    </w:p>
    <w:p>
      <w:pPr>
        <w:spacing w:before="0" w:after="0"/>
        <w:ind w:left="120"/>
        <w:jc w:val="center"/>
      </w:pPr>
      <w:r>
        <w:rPr>
          <w:rFonts w:ascii="Times New Roman" w:hAnsi="Times New Roman"/>
          <w:b w:val="false"/>
          <w:i w:val="false"/>
          <w:color w:val="000000"/>
          <w:sz w:val="21"/>
        </w:rPr>
        <w:t xml:space="preserve"> </w:t>
      </w:r>
      <w:r>
        <w:rPr>
          <w:rFonts w:ascii="Times New Roman" w:hAnsi="Times New Roman"/>
          <w:b w:val="false"/>
          <w:i w:val="false"/>
          <w:color w:val="000000"/>
          <w:sz w:val="21"/>
        </w:rPr>
        <w:t>[Filed ARC 5408C</w:t>
      </w:r>
      <w:r>
        <w:rPr>
          <w:rFonts w:ascii="Times New Roman" w:hAnsi="Times New Roman"/>
          <w:b w:val="false"/>
          <w:i w:val="false"/>
          <w:color w:val="000000"/>
          <w:sz w:val="21"/>
        </w:rPr>
        <w:t xml:space="preserve"> (Notice ARC 5296C, IAB 12/2/20)</w:t>
      </w:r>
      <w:r>
        <w:rPr>
          <w:rFonts w:ascii="Times New Roman" w:hAnsi="Times New Roman"/>
          <w:b w:val="false"/>
          <w:i w:val="false"/>
          <w:color w:val="000000"/>
          <w:sz w:val="21"/>
        </w:rPr>
        <w:t>, IAB 1/27/21, effective 3/3/21]</w:t>
      </w:r>
      <w:r>
        <w:rPr>
          <w:rFonts w:ascii="Times New Roman" w:hAnsi="Times New Roman"/>
          <w:b w:val="false"/>
          <w:i w:val="false"/>
          <w:color w:val="000000"/>
          <w:sz w:val="21"/>
        </w:rPr>
        <w:t xml:space="preserve"> </w:t>
      </w:r>
    </w:p>
    <w:p>
      <w:pPr>
        <w:spacing w:before="0" w:after="0"/>
        <w:ind w:left="120"/>
        <w:jc w:val="center"/>
      </w:pPr>
      <w:r>
        <w:rPr>
          <w:rFonts w:ascii="Times New Roman" w:hAnsi="Times New Roman"/>
          <w:b w:val="false"/>
          <w:i w:val="false"/>
          <w:color w:val="000000"/>
          <w:sz w:val="21"/>
        </w:rPr>
        <w:t xml:space="preserve"> </w:t>
      </w:r>
      <w:r>
        <w:rPr>
          <w:rFonts w:ascii="Times New Roman" w:hAnsi="Times New Roman"/>
          <w:b w:val="false"/>
          <w:i w:val="false"/>
          <w:color w:val="000000"/>
          <w:sz w:val="21"/>
        </w:rPr>
        <w:t>[Filed ARC 9181C</w:t>
      </w:r>
      <w:r>
        <w:rPr>
          <w:rFonts w:ascii="Times New Roman" w:hAnsi="Times New Roman"/>
          <w:b w:val="false"/>
          <w:i w:val="false"/>
          <w:color w:val="000000"/>
          <w:sz w:val="21"/>
        </w:rPr>
        <w:t xml:space="preserve"> (Notice ARC 8976C, IAB 3/5/25)</w:t>
      </w:r>
      <w:r>
        <w:rPr>
          <w:rFonts w:ascii="Times New Roman" w:hAnsi="Times New Roman"/>
          <w:b w:val="false"/>
          <w:i w:val="false"/>
          <w:color w:val="000000"/>
          <w:sz w:val="21"/>
        </w:rPr>
        <w:t>, IAB 4/30/25, effective 6/4/25]</w:t>
      </w:r>
      <w:r>
        <w:rPr>
          <w:rFonts w:ascii="Times New Roman" w:hAnsi="Times New Roman"/>
          <w:b w:val="false"/>
          <w:i w:val="false"/>
          <w:color w:val="000000"/>
          <w:sz w:val="21"/>
        </w:rPr>
        <w:t xml:space="preserve"> </w:t>
      </w:r>
    </w:p>
    <w:p>
      <w:pPr>
        <w:spacing w:before="0" w:after="0"/>
        <w:ind w:left="120"/>
        <w:jc w:val="center"/>
      </w:pPr>
      <w:r>
        <w:rPr>
          <w:rFonts w:ascii="Times New Roman" w:hAnsi="Times New Roman"/>
          <w:b w:val="false"/>
          <w:i w:val="false"/>
          <w:color w:val="000000"/>
          <w:sz w:val="21"/>
        </w:rPr>
        <w:t xml:space="preserve"> </w:t>
      </w:r>
      <w:r>
        <w:rPr>
          <w:rFonts w:ascii="Times New Roman" w:hAnsi="Times New Roman"/>
          <w:b w:val="false"/>
          <w:i w:val="false"/>
          <w:color w:val="000000"/>
          <w:sz w:val="21"/>
        </w:rPr>
        <w:t>[Editorial change: IAC Supplement 7/9/25]</w:t>
      </w:r>
      <w:r>
        <w:rPr>
          <w:rFonts w:ascii="Times New Roman" w:hAnsi="Times New Roman"/>
          <w:b w:val="false"/>
          <w:i w:val="false"/>
          <w:color w:val="000000"/>
          <w:sz w:val="21"/>
        </w:rPr>
        <w:t xml:space="preserve"> </w:t>
      </w:r>
    </w:p>
    <w:p>
      <w:pPr>
        <w:spacing w:before="0" w:after="0"/>
        <w:ind w:left="120"/>
        <w:jc w:val="center"/>
      </w:pPr>
      <w:r>
        <w:rPr>
          <w:rFonts w:ascii="Times New Roman" w:hAnsi="Times New Roman"/>
          <w:b w:val="false"/>
          <w:i w:val="false"/>
          <w:color w:val="000000"/>
          <w:sz w:val="21"/>
        </w:rPr>
        <w:t>[Editorial change: IAC Supplement 8/5/26]</w:t>
      </w:r>
    </w:p>
    <w:sectPr>
      <w:footerReference r:id="rId3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1.pdf" Type="http://schemas.openxmlformats.org/officeDocument/2006/relationships/hyperlink" Id="rId5"/>
    <Relationship TargetMode="External" Target="http://dial.iowa.gov" Type="http://schemas.openxmlformats.org/officeDocument/2006/relationships/hyperlink" Id="rId6"/>
    <Relationship TargetMode="External" Target="https://www.legis.iowa.gov/docs/ico/chapter/101.pdf" Type="http://schemas.openxmlformats.org/officeDocument/2006/relationships/hyperlink" Id="rId7"/>
    <Relationship TargetMode="External" Target="https://www.legis.iowa.gov/docs/ico/chapter/214A.2.pdf" Type="http://schemas.openxmlformats.org/officeDocument/2006/relationships/hyperlink" Id="rId8"/>
    <Relationship TargetMode="External" Target="http://iccsafe.org" Type="http://schemas.openxmlformats.org/officeDocument/2006/relationships/hyperlink" Id="rId9"/>
    <Relationship TargetMode="External" Target="http://nfpa.org" Type="http://schemas.openxmlformats.org/officeDocument/2006/relationships/hyperlink" Id="rId10"/>
    <Relationship TargetMode="External" Target="https://www.legis.iowa.gov/docs/ico/chapter/101.pdf" Type="http://schemas.openxmlformats.org/officeDocument/2006/relationships/hyperlink" Id="rId11"/>
    <Relationship TargetMode="External" Target="https://www.legis.iowa.gov/docs/ico/chapter/214A.1.pdf" Type="http://schemas.openxmlformats.org/officeDocument/2006/relationships/hyperlink" Id="rId12"/>
    <Relationship TargetMode="External" Target="https://www.legis.iowa.gov/docs/ico/chapter/214A.1.pdf" Type="http://schemas.openxmlformats.org/officeDocument/2006/relationships/hyperlink" Id="rId13"/>
    <Relationship TargetMode="External" Target="https://www.legis.iowa.gov/docs/iac/rule/21.85.20.pdf" Type="http://schemas.openxmlformats.org/officeDocument/2006/relationships/hyperlink" Id="rId14"/>
    <Relationship TargetMode="External" Target="https://www.legis.iowa.gov/docs/ico/chapter/455B.386.pdf" Type="http://schemas.openxmlformats.org/officeDocument/2006/relationships/hyperlink" Id="rId15"/>
    <Relationship TargetMode="External" Target="https://www.legis.iowa.gov/docs/ico/chapter/101.1.pdf" Type="http://schemas.openxmlformats.org/officeDocument/2006/relationships/hyperlink" Id="rId16"/>
    <Relationship TargetMode="External" Target="https://www.legis.iowa.gov/docs/ico/chapter/455G.31.pdf" Type="http://schemas.openxmlformats.org/officeDocument/2006/relationships/hyperlink" Id="rId17"/>
    <Relationship TargetMode="External" Target="https://www.legis.iowa.gov/docs/iac/rule/567.135.3.pdf" Type="http://schemas.openxmlformats.org/officeDocument/2006/relationships/hyperlink" Id="rId18"/>
    <Relationship TargetMode="External" Target="https://www.legis.iowa.gov/docs/ico/chapter/29C.6.pdf" Type="http://schemas.openxmlformats.org/officeDocument/2006/relationships/hyperlink" Id="rId19"/>
    <Relationship TargetMode="External" Target="https://www.legis.iowa.gov/docs/iac/chapter/481.404.pdf" Type="http://schemas.openxmlformats.org/officeDocument/2006/relationships/hyperlink" Id="rId20"/>
    <Relationship TargetMode="External" Target="https://www.legis.iowa.gov/docs/iac/chapter/481.286.pdf" Type="http://schemas.openxmlformats.org/officeDocument/2006/relationships/hyperlink" Id="rId21"/>
    <Relationship TargetMode="External" Target="https://www.legis.iowa.gov/docs/ico/chapter/101.pdf" Type="http://schemas.openxmlformats.org/officeDocument/2006/relationships/hyperlink" Id="rId22"/>
    <Relationship TargetMode="External" Target="https://www.legis.iowa.gov/docs/iac/rule/481.282.11.pdf" Type="http://schemas.openxmlformats.org/officeDocument/2006/relationships/hyperlink" Id="rId23"/>
    <Relationship TargetMode="External" Target="https://www.legis.iowa.gov/docs/iac/rule/481.282.11.pdf" Type="http://schemas.openxmlformats.org/officeDocument/2006/relationships/hyperlink" Id="rId24"/>
    <Relationship TargetMode="External" Target="https://www.legis.iowa.gov/docs/ico/chapter/455B.471.pdf" Type="http://schemas.openxmlformats.org/officeDocument/2006/relationships/hyperlink" Id="rId25"/>
    <Relationship TargetMode="External" Target="https://www.legis.iowa.gov/docs/ico/chapter/101.22.pdf" Type="http://schemas.openxmlformats.org/officeDocument/2006/relationships/hyperlink" Id="rId26"/>
    <Relationship TargetMode="External" Target="https://www.legis.iowa.gov/docs/ico/chapter/101.pdf" Type="http://schemas.openxmlformats.org/officeDocument/2006/relationships/hyperlink" Id="rId27"/>
    <Relationship TargetMode="External" Target="https://www.legis.iowa.gov/docs/iac/rule/481.282.15.pdf" Type="http://schemas.openxmlformats.org/officeDocument/2006/relationships/hyperlink" Id="rId28"/>
    <Relationship TargetMode="External" Target="https://www.legis.iowa.gov/docs/iac/rule/481.282.15.pdf" Type="http://schemas.openxmlformats.org/officeDocument/2006/relationships/hyperlink" Id="rId29"/>
    <Relationship TargetMode="External" Target="https://www.legis.iowa.gov/docs/iac/rule/481.282.15.pdf" Type="http://schemas.openxmlformats.org/officeDocument/2006/relationships/hyperlink" Id="rId30"/>
    <Relationship TargetMode="External" Target="https://www.legis.iowa.gov/docs/ico/chapter/101.26.pdf" Type="http://schemas.openxmlformats.org/officeDocument/2006/relationships/hyperlink" Id="rId31"/>
    <Relationship TargetMode="External" Target="https://www.legis.iowa.gov/docs/iac/chapter/7.2506.pdf" Type="http://schemas.openxmlformats.org/officeDocument/2006/relationships/hyperlink" Id="rId32"/>
    <Relationship TargetMode="External" Target="https://www.legis.iowa.gov/docs/iac/chapter/481.10.pdf" Type="http://schemas.openxmlformats.org/officeDocument/2006/relationships/hyperlink" Id="rId33"/>
    <Relationship TargetMode="External" Target="https://www.legis.iowa.gov/docs/iac/rule/481.282.15.pdf" Type="http://schemas.openxmlformats.org/officeDocument/2006/relationships/hyperlink" Id="rId34"/>
    <Relationship TargetMode="External" Target="https://www.legis.iowa.gov/docs/ico/chapter/101.pdf" Type="http://schemas.openxmlformats.org/officeDocument/2006/relationships/hyperlink" Id="rId35"/>
    <Relationship Target="footer.xml" Type="http://schemas.openxmlformats.org/officeDocument/2006/relationships/footer" Id="rId3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