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227</w:t>
      </w:r>
    </w:p>
    <w:p>
      <w:pPr>
        <w:spacing w:before="0" w:after="0"/>
        <w:ind w:left="120"/>
        <w:jc w:val="center"/>
      </w:pPr>
      <w:r>
        <w:rPr>
          <w:rFonts w:ascii="Times New Roman" w:hAnsi="Times New Roman"/>
          <w:b w:val="false"/>
          <w:i w:val="false"/>
          <w:color w:val="000000"/>
          <w:sz w:val="21"/>
        </w:rPr>
        <w:t>WAGE CIVIL PENALTIES</w:t>
      </w:r>
    </w:p>
    <w:p>
      <w:pPr>
        <w:spacing w:before="0" w:after="0"/>
        <w:ind w:left="120"/>
        <w:jc w:val="center"/>
      </w:pPr>
      <w:r>
        <w:rPr>
          <w:rFonts w:ascii="Times New Roman" w:hAnsi="Times New Roman"/>
          <w:b w:val="false"/>
          <w:i w:val="false"/>
          <w:color w:val="000000"/>
          <w:sz w:val="14"/>
        </w:rPr>
        <w:t>[Prior to 7/9/25, see Labor Services Division[875] Ch 34]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1/29/30</w:t>
      </w:r>
    </w:p>
    <w:p>
      <w:pPr>
        <w:spacing w:before="0" w:after="0"/>
        <w:ind w:left="120"/>
        <w:jc w:val="both"/>
      </w:pPr>
      <w:r>
        <w:rPr>
          <w:rFonts w:ascii="Times New Roman" w:hAnsi="Times New Roman"/>
          <w:b/>
          <w:i w:val="false"/>
          <w:color w:val="000000"/>
          <w:sz w:val="22"/>
        </w:rPr>
        <w:t>481—227.1</w:t>
      </w:r>
      <w:r>
        <w:rPr>
          <w:rFonts w:ascii="Times New Roman" w:hAnsi="Times New Roman"/>
          <w:b/>
          <w:i w:val="false"/>
          <w:color w:val="000000"/>
          <w:sz w:val="22"/>
        </w:rPr>
        <w:t xml:space="preserve">(91A) </w:t>
      </w:r>
      <w:r>
        <w:rPr>
          <w:rFonts w:ascii="Times New Roman" w:hAnsi="Times New Roman"/>
          <w:b/>
          <w:i w:val="false"/>
          <w:color w:val="000000"/>
          <w:sz w:val="22"/>
        </w:rPr>
        <w:t xml:space="preserve">Civil penalties for Iowa Code chapter 91A violations. </w:t>
      </w:r>
      <w:r>
        <w:rPr>
          <w:rFonts w:ascii="Times New Roman" w:hAnsi="Times New Roman"/>
          <w:b w:val="false"/>
          <w:i w:val="false"/>
          <w:color w:val="000000"/>
          <w:sz w:val="22"/>
        </w:rPr>
        <w:t xml:space="preserve">The director may, upon report of an affected employee or based on other credible information, seek to recover civil money penalties for violation(s) of Iowa Code chapter </w:t>
      </w:r>
      <w:hyperlink r:id="rId5">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481—227.2</w:t>
      </w:r>
      <w:r>
        <w:rPr>
          <w:rFonts w:ascii="Times New Roman" w:hAnsi="Times New Roman"/>
          <w:b/>
          <w:i w:val="false"/>
          <w:color w:val="000000"/>
          <w:sz w:val="22"/>
        </w:rPr>
        <w:t xml:space="preserve">(91A) </w:t>
      </w:r>
      <w:r>
        <w:rPr>
          <w:rFonts w:ascii="Times New Roman" w:hAnsi="Times New Roman"/>
          <w:b/>
          <w:i w:val="false"/>
          <w:color w:val="000000"/>
          <w:sz w:val="22"/>
        </w:rPr>
        <w:t xml:space="preserve">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227.2(1)</w:t>
      </w:r>
      <w:r>
        <w:rPr>
          <w:rFonts w:ascii="Times New Roman" w:hAnsi="Times New Roman"/>
          <w:b w:val="false"/>
          <w:i w:val="false"/>
          <w:color w:val="000000"/>
          <w:sz w:val="22"/>
        </w:rPr>
        <w:t> </w:t>
      </w:r>
      <w:r>
        <w:rPr>
          <w:rFonts w:ascii="Times New Roman" w:hAnsi="Times New Roman"/>
          <w:b w:val="false"/>
          <w:i w:val="false"/>
          <w:color w:val="000000"/>
          <w:sz w:val="22"/>
        </w:rPr>
        <w:t>Prior to initiating a contested case proceeding, the director will, in writing, request written information from the complaining employee(s). This request for written information may be omitted for good cause, including urgent circumstances or the possession of sufficient reliable evidence from another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227.2(2)</w:t>
      </w:r>
      <w:r>
        <w:rPr>
          <w:rFonts w:ascii="Times New Roman" w:hAnsi="Times New Roman"/>
          <w:b w:val="false"/>
          <w:i w:val="false"/>
          <w:color w:val="000000"/>
          <w:sz w:val="22"/>
        </w:rPr>
        <w:t> </w:t>
      </w:r>
      <w:r>
        <w:rPr>
          <w:rFonts w:ascii="Times New Roman" w:hAnsi="Times New Roman"/>
          <w:b w:val="false"/>
          <w:i w:val="false"/>
          <w:color w:val="000000"/>
          <w:sz w:val="22"/>
        </w:rPr>
        <w:t>Prior to initiating a contested case proceeding, the director will, in writing, inform the employer of the nature of the alleged violation(s) and request the employer to provide, within 14 days, a response with relevant information, including information necessary for the to assess penalties. This request for written information may be omitted for good cause, including urgent circumstances or the possession of sufficient reliable evidence from another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227.2(3)</w:t>
      </w:r>
      <w:r>
        <w:rPr>
          <w:rFonts w:ascii="Times New Roman" w:hAnsi="Times New Roman"/>
          <w:b w:val="false"/>
          <w:i w:val="false"/>
          <w:color w:val="000000"/>
          <w:sz w:val="22"/>
        </w:rPr>
        <w:t> </w:t>
      </w:r>
      <w:r>
        <w:rPr>
          <w:rFonts w:ascii="Times New Roman" w:hAnsi="Times New Roman"/>
          <w:b w:val="false"/>
          <w:i w:val="false"/>
          <w:color w:val="000000"/>
          <w:sz w:val="22"/>
        </w:rPr>
        <w:t>The director may secure evidence or witnesses by administrative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in response to a written complaint, request a warrant to enter a place of employment to inspect records, ask questions, and investigate in relation to possible violations of Iowa Code chapter </w:t>
      </w:r>
      <w:hyperlink r:id="rId6">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481—227.3</w:t>
      </w:r>
      <w:r>
        <w:rPr>
          <w:rFonts w:ascii="Times New Roman" w:hAnsi="Times New Roman"/>
          <w:b/>
          <w:i w:val="false"/>
          <w:color w:val="000000"/>
          <w:sz w:val="22"/>
        </w:rPr>
        <w:t xml:space="preserve">(91A) </w:t>
      </w:r>
      <w:r>
        <w:rPr>
          <w:rFonts w:ascii="Times New Roman" w:hAnsi="Times New Roman"/>
          <w:b/>
          <w:i w:val="false"/>
          <w:color w:val="000000"/>
          <w:sz w:val="22"/>
        </w:rPr>
        <w:t xml:space="preserve">Calculation of penalty.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227.3(1)</w:t>
      </w:r>
      <w:r>
        <w:rPr>
          <w:rFonts w:ascii="Times New Roman" w:hAnsi="Times New Roman"/>
          <w:b w:val="false"/>
          <w:i w:val="false"/>
          <w:color w:val="000000"/>
          <w:sz w:val="22"/>
        </w:rPr>
        <w:t> </w:t>
      </w:r>
      <w:r>
        <w:rPr>
          <w:rFonts w:ascii="Times New Roman" w:hAnsi="Times New Roman"/>
          <w:b w:val="false"/>
          <w:i w:val="false"/>
          <w:color w:val="000000"/>
          <w:sz w:val="22"/>
        </w:rPr>
        <w:t>The director will assess the penalty with due consideration for the size of the employer’s business, the gravity of the violation(s), the good faith of the employer, and the history of previous violations by granting appropriate penalty reductions.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227.3(2)</w:t>
      </w:r>
      <w:r>
        <w:rPr>
          <w:rFonts w:ascii="Times New Roman" w:hAnsi="Times New Roman"/>
          <w:b w:val="false"/>
          <w:i w:val="false"/>
          <w:color w:val="000000"/>
          <w:sz w:val="22"/>
        </w:rPr>
        <w:t> </w:t>
      </w:r>
      <w:r>
        <w:rPr>
          <w:rFonts w:ascii="Times New Roman" w:hAnsi="Times New Roman"/>
          <w:b w:val="false"/>
          <w:i w:val="false"/>
          <w:color w:val="000000"/>
          <w:sz w:val="22"/>
        </w:rPr>
        <w:t>The gross penalty for each distinguishable violation will be $500. The following are examples of distinguishable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act or omission occurs during five consecutive pay periods affecting a single employee, there are five distinguishable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act or omission occurs during a single pay period affecting 50 employees, there are 50 distinguishable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227.3(3)</w:t>
      </w:r>
      <w:r>
        <w:rPr>
          <w:rFonts w:ascii="Times New Roman" w:hAnsi="Times New Roman"/>
          <w:b w:val="false"/>
          <w:i w:val="false"/>
          <w:color w:val="000000"/>
          <w:sz w:val="22"/>
        </w:rPr>
        <w:t> </w:t>
      </w:r>
      <w:r>
        <w:rPr>
          <w:rFonts w:ascii="Times New Roman" w:hAnsi="Times New Roman"/>
          <w:b w:val="false"/>
          <w:i w:val="false"/>
          <w:color w:val="000000"/>
          <w:sz w:val="22"/>
        </w:rPr>
        <w:t>The size of the business will be considered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595"/>
        <w:gridCol w:w="5595"/>
      </w:tblGrid>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Number of Employees</w:t>
            </w:r>
          </w:p>
        </w:tc>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Penalty Reduction</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1-25</w:t>
            </w:r>
          </w:p>
        </w:tc>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26-100</w:t>
            </w:r>
          </w:p>
        </w:tc>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2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101-250</w:t>
            </w:r>
          </w:p>
        </w:tc>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r>
      <w:tr>
        <w:trPr>
          <w:trHeight w:val="225" w:hRule="atLeast"/>
        </w:trPr>
        <w:tc>
          <w:tcPr>
            <w:tcW w:w="559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251+</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227.3(4)</w:t>
      </w:r>
      <w:r>
        <w:rPr>
          <w:rFonts w:ascii="Times New Roman" w:hAnsi="Times New Roman"/>
          <w:b w:val="false"/>
          <w:i w:val="false"/>
          <w:color w:val="000000"/>
          <w:sz w:val="22"/>
        </w:rPr>
        <w:t> </w:t>
      </w:r>
      <w:r>
        <w:rPr>
          <w:rFonts w:ascii="Times New Roman" w:hAnsi="Times New Roman"/>
          <w:b w:val="false"/>
          <w:i w:val="false"/>
          <w:color w:val="000000"/>
          <w:sz w:val="22"/>
        </w:rPr>
        <w:t>Gravity will be considered by giving a 20 percent penalty reduction for a low-gravity violation or a 10 percent reduction for a medium-gravity violation. High-gravity violations will receive no gravity reduction. The gravity of a violation will be based primarily on its actual or potential harm to employees. Following are examples of gravity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low-gravity violation includes any merely technical violation of Iowa Code chapter </w:t>
      </w:r>
      <w:hyperlink r:id="rId7">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that does not substantially prejudice any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high-gravity violation includes any violation causing financial injury to an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227.3(5)</w:t>
      </w:r>
      <w:r>
        <w:rPr>
          <w:rFonts w:ascii="Times New Roman" w:hAnsi="Times New Roman"/>
          <w:b w:val="false"/>
          <w:i w:val="false"/>
          <w:color w:val="000000"/>
          <w:sz w:val="22"/>
        </w:rPr>
        <w:t> </w:t>
      </w:r>
      <w:r>
        <w:rPr>
          <w:rFonts w:ascii="Times New Roman" w:hAnsi="Times New Roman"/>
          <w:b w:val="false"/>
          <w:i w:val="false"/>
          <w:color w:val="000000"/>
          <w:sz w:val="22"/>
        </w:rPr>
        <w:t xml:space="preserve">Good faith will be considered by giving a 15 percent penalty reduction when there is sufficient evidence that the employer made earnest attempts to be well-informed about and in compliance with Iowa Code chapter </w:t>
      </w:r>
      <w:hyperlink r:id="rId8">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A good-faith reduction will not be given if the employer committed a violation(s) after having received a complaint(s) or warning(s) about a practice clearly in violation of Iowa Code chapter </w:t>
      </w:r>
      <w:hyperlink r:id="rId9">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227.3(6)</w:t>
      </w:r>
      <w:r>
        <w:rPr>
          <w:rFonts w:ascii="Times New Roman" w:hAnsi="Times New Roman"/>
          <w:b w:val="false"/>
          <w:i w:val="false"/>
          <w:color w:val="000000"/>
          <w:sz w:val="22"/>
        </w:rPr>
        <w:t> </w:t>
      </w:r>
      <w:r>
        <w:rPr>
          <w:rFonts w:ascii="Times New Roman" w:hAnsi="Times New Roman"/>
          <w:b w:val="false"/>
          <w:i w:val="false"/>
          <w:color w:val="000000"/>
          <w:sz w:val="22"/>
        </w:rPr>
        <w:t>History will be considered by giving a 10 percent penalty reduction if the violation(s) was isolated. Consideration will be given to prior civil penalty complaints and may include prior wage claims. A history reduction will not be given if the violation(s) for which the penalty is being calculated occurred over an extended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227.3(7)</w:t>
      </w:r>
      <w:r>
        <w:rPr>
          <w:rFonts w:ascii="Times New Roman" w:hAnsi="Times New Roman"/>
          <w:b w:val="false"/>
          <w:i w:val="false"/>
          <w:color w:val="000000"/>
          <w:sz w:val="22"/>
        </w:rPr>
        <w:t> </w:t>
      </w:r>
      <w:r>
        <w:rPr>
          <w:rFonts w:ascii="Times New Roman" w:hAnsi="Times New Roman"/>
          <w:b w:val="false"/>
          <w:i w:val="false"/>
          <w:color w:val="000000"/>
          <w:sz w:val="22"/>
        </w:rPr>
        <w:t>If the employer does not, upon request of the director, provide information relevant to the penalty assessment, the director may deny any penalty reduction for which the employer does not provide responsive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481—227.4</w:t>
      </w:r>
      <w:r>
        <w:rPr>
          <w:rFonts w:ascii="Times New Roman" w:hAnsi="Times New Roman"/>
          <w:b/>
          <w:i w:val="false"/>
          <w:color w:val="000000"/>
          <w:sz w:val="22"/>
        </w:rPr>
        <w:t xml:space="preserve">(91A) </w:t>
      </w:r>
      <w:r>
        <w:rPr>
          <w:rFonts w:ascii="Times New Roman" w:hAnsi="Times New Roman"/>
          <w:b/>
          <w:i w:val="false"/>
          <w:color w:val="000000"/>
          <w:sz w:val="22"/>
        </w:rPr>
        <w:t xml:space="preserve">Settlement opportunity. </w:t>
      </w:r>
      <w:r>
        <w:rPr>
          <w:rFonts w:ascii="Times New Roman" w:hAnsi="Times New Roman"/>
          <w:b w:val="false"/>
          <w:i w:val="false"/>
          <w:color w:val="000000"/>
          <w:sz w:val="22"/>
        </w:rPr>
        <w:t xml:space="preserve">Prior to initiating a contested case proceeding, the director will normally request, in writing, that the employer enter into settlement negotiations. This request may be omitted for good cause, including urgent circumstances or reasonable belief that the employer will not comply with the relevant section(s) of Iowa Code chapter </w:t>
      </w:r>
      <w:hyperlink r:id="rId10">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as part of a settlement. The director may, in consideration of the overall nature of the violations, the promptness of the employer’s remedial action, and administrative efficiency, accept less than the full penalty from the employer at any time as a settlement.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481—227.5</w:t>
      </w:r>
      <w:r>
        <w:rPr>
          <w:rFonts w:ascii="Times New Roman" w:hAnsi="Times New Roman"/>
          <w:b/>
          <w:i w:val="false"/>
          <w:color w:val="000000"/>
          <w:sz w:val="22"/>
        </w:rPr>
        <w:t xml:space="preserve">(91A) </w:t>
      </w:r>
      <w:r>
        <w:rPr>
          <w:rFonts w:ascii="Times New Roman" w:hAnsi="Times New Roman"/>
          <w:b/>
          <w:i w:val="false"/>
          <w:color w:val="000000"/>
          <w:sz w:val="22"/>
        </w:rPr>
        <w:t xml:space="preserve">Notice of penalty assessment; contested case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227.5(1)</w:t>
      </w:r>
      <w:r>
        <w:rPr>
          <w:rFonts w:ascii="Times New Roman" w:hAnsi="Times New Roman"/>
          <w:b w:val="false"/>
          <w:i w:val="false"/>
          <w:color w:val="000000"/>
          <w:sz w:val="22"/>
        </w:rPr>
        <w:t> </w:t>
      </w:r>
      <w:r>
        <w:rPr>
          <w:rFonts w:ascii="Times New Roman" w:hAnsi="Times New Roman"/>
          <w:b w:val="false"/>
          <w:i w:val="false"/>
          <w:color w:val="000000"/>
          <w:sz w:val="22"/>
        </w:rPr>
        <w:t xml:space="preserve">To initiate an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contested case proceeding, the director will serve a notice of penalty assessment in a manner consistent with service of original notice under the Iowa Rules of Civil Procedure. Such notice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that the notice concerns a civil penalty assessment for violation of wage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if a hearing is requested by the employer, the director will determine, after the hearing is held pursuant to Iowa Code sections </w:t>
      </w:r>
      <w:hyperlink r:id="rId12">
        <w:r>
          <w:rPr>
            <w:rStyle w:val="Hyperlink"/>
            <w:rFonts w:ascii="Times New Roman" w:hAnsi="Times New Roman"/>
            <w:b w:val="false"/>
            <w:i w:val="false"/>
            <w:color w:val="000000"/>
            <w:sz w:val="22"/>
          </w:rPr>
          <w:t>91A.12(2)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91A.12(3)</w:t>
        </w:r>
      </w:hyperlink>
      <w:r>
        <w:rPr>
          <w:rFonts w:ascii="Times New Roman" w:hAnsi="Times New Roman"/>
          <w:b w:val="false"/>
          <w:i w:val="false"/>
          <w:color w:val="000000"/>
          <w:sz w:val="22"/>
        </w:rPr>
        <w:t>, whether the penalty assessment will be upheld.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References to this chapter, Iowa Code section </w:t>
      </w:r>
      <w:hyperlink r:id="rId14">
        <w:r>
          <w:rPr>
            <w:rStyle w:val="Hyperlink"/>
            <w:rFonts w:ascii="Times New Roman" w:hAnsi="Times New Roman"/>
            <w:b w:val="false"/>
            <w:i w:val="false"/>
            <w:color w:val="000000"/>
            <w:sz w:val="22"/>
          </w:rPr>
          <w:t>91A.12</w:t>
        </w:r>
      </w:hyperlink>
      <w:r>
        <w:rPr>
          <w:rFonts w:ascii="Times New Roman" w:hAnsi="Times New Roman"/>
          <w:b w:val="false"/>
          <w:i w:val="false"/>
          <w:color w:val="000000"/>
          <w:sz w:val="22"/>
        </w:rPr>
        <w:t xml:space="preserve">, and any sections of Iowa Code chapter </w:t>
      </w:r>
      <w:hyperlink r:id="rId15">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that are alleged to have been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 of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of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demand that the employer comply with the notice and recordkeeping requirements of Iowa Code section </w:t>
      </w:r>
      <w:hyperlink r:id="rId16">
        <w:r>
          <w:rPr>
            <w:rStyle w:val="Hyperlink"/>
            <w:rFonts w:ascii="Times New Roman" w:hAnsi="Times New Roman"/>
            <w:b w:val="false"/>
            <w:i w:val="false"/>
            <w:color w:val="000000"/>
            <w:sz w:val="22"/>
          </w:rPr>
          <w:t>91A.6(1)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statement that the employer has the right to request a hearing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227.5(2)</w:t>
      </w:r>
      <w:r>
        <w:rPr>
          <w:rFonts w:ascii="Times New Roman" w:hAnsi="Times New Roman"/>
          <w:b w:val="false"/>
          <w:i w:val="false"/>
          <w:color w:val="000000"/>
          <w:sz w:val="22"/>
        </w:rPr>
        <w:t> </w:t>
      </w:r>
      <w:r>
        <w:rPr>
          <w:rFonts w:ascii="Times New Roman" w:hAnsi="Times New Roman"/>
          <w:b w:val="false"/>
          <w:i w:val="false"/>
          <w:color w:val="000000"/>
          <w:sz w:val="22"/>
        </w:rPr>
        <w:t>Employer nonresponse. If the employer does not respond to the notice of penalty assessment within 30 days of being served, the director will assess the full proposed penalty, and such assessment will be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227.5(3)</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Employer request for hearing. The employer may request a hearing within 30 days of being served by mailing such request to the director. Such request will include the address to which notice of hearing should be mailed. Upon such request, notice of the time and place of hearing will be mailed to the employer and a hearing pursuant to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will be conducted before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227.5(4)</w:t>
      </w:r>
      <w:r>
        <w:rPr>
          <w:rFonts w:ascii="Times New Roman" w:hAnsi="Times New Roman"/>
          <w:b w:val="false"/>
          <w:i w:val="false"/>
          <w:color w:val="000000"/>
          <w:sz w:val="22"/>
        </w:rPr>
        <w:t> </w:t>
      </w:r>
      <w:r>
        <w:rPr>
          <w:rFonts w:ascii="Times New Roman" w:hAnsi="Times New Roman"/>
          <w:b w:val="false"/>
          <w:i w:val="false"/>
          <w:color w:val="000000"/>
          <w:sz w:val="22"/>
        </w:rPr>
        <w:t>Failure to request judicial review. If, after hearing, the employer does not request judicial review of an adverse decision within 30 days, the ruling is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481—227.6</w:t>
      </w:r>
      <w:r>
        <w:rPr>
          <w:rFonts w:ascii="Times New Roman" w:hAnsi="Times New Roman"/>
          <w:b/>
          <w:i w:val="false"/>
          <w:color w:val="000000"/>
          <w:sz w:val="22"/>
        </w:rPr>
        <w:t xml:space="preserve">(91A) </w:t>
      </w:r>
      <w:r>
        <w:rPr>
          <w:rFonts w:ascii="Times New Roman" w:hAnsi="Times New Roman"/>
          <w:b/>
          <w:i w:val="false"/>
          <w:color w:val="000000"/>
          <w:sz w:val="22"/>
        </w:rPr>
        <w:t xml:space="preserve">Judicial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227.6(1)</w:t>
      </w:r>
      <w:r>
        <w:rPr>
          <w:rFonts w:ascii="Times New Roman" w:hAnsi="Times New Roman"/>
          <w:b w:val="false"/>
          <w:i w:val="false"/>
          <w:color w:val="000000"/>
          <w:sz w:val="22"/>
        </w:rPr>
        <w:t> </w:t>
      </w:r>
      <w:r>
        <w:rPr>
          <w:rFonts w:ascii="Times New Roman" w:hAnsi="Times New Roman"/>
          <w:b w:val="false"/>
          <w:i/>
          <w:color w:val="000000"/>
          <w:sz w:val="22"/>
        </w:rPr>
        <w:t xml:space="preserve">Employer petition for Iowa Code chapter 17A judicial review. </w:t>
      </w:r>
      <w:r>
        <w:rPr>
          <w:rFonts w:ascii="Times New Roman" w:hAnsi="Times New Roman"/>
          <w:b w:val="false"/>
          <w:i w:val="false"/>
          <w:color w:val="000000"/>
          <w:sz w:val="22"/>
        </w:rPr>
        <w:t>The employer may request judicial review of an adverse ruling within 30 days. Such petition for review shall name the agency as respondent and shall contain a concise statement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agency action for which review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action for which review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facts on which venue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grounds for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227.6(2)</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Judicial review will be in the district court of a county in which at least one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227.6(3)</w:t>
      </w:r>
      <w:r>
        <w:rPr>
          <w:rFonts w:ascii="Times New Roman" w:hAnsi="Times New Roman"/>
          <w:b w:val="false"/>
          <w:i w:val="false"/>
          <w:color w:val="000000"/>
          <w:sz w:val="22"/>
        </w:rPr>
        <w:t> </w:t>
      </w:r>
      <w:r>
        <w:rPr>
          <w:rFonts w:ascii="Times New Roman" w:hAnsi="Times New Roman"/>
          <w:b w:val="false"/>
          <w:i/>
          <w:color w:val="000000"/>
          <w:sz w:val="22"/>
        </w:rPr>
        <w:t xml:space="preserve">Transmittal of record. </w:t>
      </w:r>
      <w:r>
        <w:rPr>
          <w:rFonts w:ascii="Times New Roman" w:hAnsi="Times New Roman"/>
          <w:b w:val="false"/>
          <w:i w:val="false"/>
          <w:color w:val="000000"/>
          <w:sz w:val="22"/>
        </w:rPr>
        <w:t>Within 30 days of the petition for judicial review, or longer as allowed by the court, the director shall transmit the record of the case to the reviewing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227.6(4)</w:t>
      </w:r>
      <w:r>
        <w:rPr>
          <w:rFonts w:ascii="Times New Roman" w:hAnsi="Times New Roman"/>
          <w:b w:val="false"/>
          <w:i w:val="false"/>
          <w:color w:val="000000"/>
          <w:sz w:val="22"/>
        </w:rPr>
        <w:t> </w:t>
      </w:r>
      <w:r>
        <w:rPr>
          <w:rFonts w:ascii="Times New Roman" w:hAnsi="Times New Roman"/>
          <w:b w:val="false"/>
          <w:i/>
          <w:color w:val="000000"/>
          <w:sz w:val="22"/>
        </w:rPr>
        <w:t xml:space="preserve">District court remedies. </w:t>
      </w:r>
      <w:r>
        <w:rPr>
          <w:rFonts w:ascii="Times New Roman" w:hAnsi="Times New Roman"/>
          <w:b w:val="false"/>
          <w:i w:val="false"/>
          <w:color w:val="000000"/>
          <w:sz w:val="22"/>
        </w:rPr>
        <w:t xml:space="preserve">The district court may require the employer to deposit the amount of the assessed penalty with the clerk of court pending the outcome of the judicial review, may uphold the penalty, and may order that the employer comply with the notice and recordkeeping requirements of Iowa Code section </w:t>
      </w:r>
      <w:hyperlink r:id="rId18">
        <w:r>
          <w:rPr>
            <w:rStyle w:val="Hyperlink"/>
            <w:rFonts w:ascii="Times New Roman" w:hAnsi="Times New Roman"/>
            <w:b w:val="false"/>
            <w:i w:val="false"/>
            <w:color w:val="000000"/>
            <w:sz w:val="22"/>
          </w:rPr>
          <w:t>91A.6(1)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9">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1/16/07, Notice 12/6/06—published 2/14/07, effective 3/21/07]</w:t>
      </w:r>
    </w:p>
    <w:p>
      <w:pPr>
        <w:spacing w:before="0" w:after="0"/>
        <w:ind w:left="120"/>
        <w:jc w:val="center"/>
      </w:pPr>
      <w:r>
        <w:rPr>
          <w:rFonts w:ascii="Times New Roman" w:hAnsi="Times New Roman"/>
          <w:b w:val="false"/>
          <w:i w:val="false"/>
          <w:color w:val="000000"/>
          <w:sz w:val="21"/>
        </w:rPr>
        <w:t>[Filed ARC 8185B</w:t>
      </w:r>
      <w:r>
        <w:rPr>
          <w:rFonts w:ascii="Times New Roman" w:hAnsi="Times New Roman"/>
          <w:b w:val="false"/>
          <w:i w:val="false"/>
          <w:color w:val="000000"/>
          <w:sz w:val="21"/>
        </w:rPr>
        <w:t xml:space="preserve"> (Notice ARC 7952B, IAB 7/15/09)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8681C</w:t>
      </w:r>
      <w:r>
        <w:rPr>
          <w:rFonts w:ascii="Times New Roman" w:hAnsi="Times New Roman"/>
          <w:b w:val="false"/>
          <w:i w:val="false"/>
          <w:color w:val="000000"/>
          <w:sz w:val="21"/>
        </w:rPr>
        <w:t xml:space="preserve"> (Notice ARC 8263C, IAB 10/30/24)</w:t>
      </w:r>
      <w:r>
        <w:rPr>
          <w:rFonts w:ascii="Times New Roman" w:hAnsi="Times New Roman"/>
          <w:b w:val="false"/>
          <w:i w:val="false"/>
          <w:color w:val="000000"/>
          <w:sz w:val="21"/>
        </w:rPr>
        <w:t>, IAB 12/25/24, effective 1/29/25]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A.pdf" Type="http://schemas.openxmlformats.org/officeDocument/2006/relationships/hyperlink" Id="rId5"/>
    <Relationship TargetMode="External" Target="https://www.legis.iowa.gov/docs/ico/chapter/91A.pdf" Type="http://schemas.openxmlformats.org/officeDocument/2006/relationships/hyperlink" Id="rId6"/>
    <Relationship TargetMode="External" Target="https://www.legis.iowa.gov/docs/ico/chapter/91A.pdf" Type="http://schemas.openxmlformats.org/officeDocument/2006/relationships/hyperlink" Id="rId7"/>
    <Relationship TargetMode="External" Target="https://www.legis.iowa.gov/docs/ico/chapter/91A.pdf" Type="http://schemas.openxmlformats.org/officeDocument/2006/relationships/hyperlink" Id="rId8"/>
    <Relationship TargetMode="External" Target="https://www.legis.iowa.gov/docs/ico/chapter/91A.pdf" Type="http://schemas.openxmlformats.org/officeDocument/2006/relationships/hyperlink" Id="rId9"/>
    <Relationship TargetMode="External" Target="https://www.legis.iowa.gov/docs/ico/chapter/91A.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91A.12.pdf" Type="http://schemas.openxmlformats.org/officeDocument/2006/relationships/hyperlink" Id="rId12"/>
    <Relationship TargetMode="External" Target="https://www.legis.iowa.gov/docs/ico/chapter/91A.12.pdf" Type="http://schemas.openxmlformats.org/officeDocument/2006/relationships/hyperlink" Id="rId13"/>
    <Relationship TargetMode="External" Target="https://www.legis.iowa.gov/docs/ico/chapter/91A.12.pdf" Type="http://schemas.openxmlformats.org/officeDocument/2006/relationships/hyperlink" Id="rId14"/>
    <Relationship TargetMode="External" Target="https://www.legis.iowa.gov/docs/ico/chapter/91A.pdf" Type="http://schemas.openxmlformats.org/officeDocument/2006/relationships/hyperlink" Id="rId15"/>
    <Relationship TargetMode="External" Target="https://www.legis.iowa.gov/docs/ico/chapter/91A.6.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91A.6.pdf" Type="http://schemas.openxmlformats.org/officeDocument/2006/relationships/hyperlink" Id="rId18"/>
    <Relationship TargetMode="External" Target="https://www.legis.iowa.gov/docs/ico/chapter/91A.pdf" Type="http://schemas.openxmlformats.org/officeDocument/2006/relationships/hyperlink" Id="rId19"/>
    <Relationship TargetMode="External" Target="https://www.legis.iowa.gov/docs/ico/chapter/17A.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