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2203</w:t>
      </w:r>
    </w:p>
    <w:p>
      <w:pPr>
        <w:spacing w:before="0" w:after="0"/>
        <w:ind w:left="120"/>
        <w:jc w:val="center"/>
      </w:pPr>
      <w:r>
        <w:rPr>
          <w:rFonts w:ascii="Times New Roman" w:hAnsi="Times New Roman"/>
          <w:b w:val="false"/>
          <w:i w:val="false"/>
          <w:color w:val="000000"/>
          <w:sz w:val="21"/>
        </w:rPr>
        <w:t>STANDARDS FOR CERTIFICATE OF NEED REVIEW</w:t>
      </w:r>
    </w:p>
    <w:p>
      <w:pPr>
        <w:spacing w:before="0" w:after="0"/>
        <w:ind w:left="120"/>
        <w:jc w:val="center"/>
      </w:pPr>
      <w:r>
        <w:rPr>
          <w:rFonts w:ascii="Times New Roman" w:hAnsi="Times New Roman"/>
          <w:b w:val="false"/>
          <w:i w:val="false"/>
          <w:color w:val="000000"/>
          <w:sz w:val="14"/>
        </w:rPr>
        <w:t>[Prior to 7/29/87, Health Department[470] Ch 203]</w:t>
      </w:r>
    </w:p>
    <w:p>
      <w:pPr>
        <w:spacing w:before="0" w:after="0"/>
        <w:ind w:left="120"/>
        <w:jc w:val="center"/>
      </w:pPr>
      <w:r>
        <w:rPr>
          <w:rFonts w:ascii="Times New Roman" w:hAnsi="Times New Roman"/>
          <w:b w:val="false"/>
          <w:i w:val="false"/>
          <w:color w:val="000000"/>
          <w:sz w:val="14"/>
        </w:rPr>
        <w:t>[Prior to 9/4/24, see Public Health Department[641] Ch 203]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210" w:after="0"/>
        <w:ind w:left="120"/>
        <w:jc w:val="both"/>
      </w:pPr>
      <w:r>
        <w:rPr>
          <w:rFonts w:ascii="Times New Roman" w:hAnsi="Times New Roman"/>
          <w:b/>
          <w:i w:val="false"/>
          <w:color w:val="000000"/>
          <w:sz w:val="22"/>
        </w:rPr>
        <w:t>481—2203.1</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481—2203.2</w:t>
      </w:r>
      <w:r>
        <w:rPr>
          <w:rFonts w:ascii="Times New Roman" w:hAnsi="Times New Roman"/>
          <w:b/>
          <w:i w:val="false"/>
          <w:color w:val="000000"/>
          <w:sz w:val="22"/>
        </w:rPr>
        <w:t xml:space="preserve">(10A) </w:t>
      </w:r>
      <w:r>
        <w:rPr>
          <w:rFonts w:ascii="Times New Roman" w:hAnsi="Times New Roman"/>
          <w:b/>
          <w:i w:val="false"/>
          <w:color w:val="000000"/>
          <w:sz w:val="22"/>
        </w:rPr>
        <w:t xml:space="preserve">Cardiac catheterization and cardiovascular surgery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These standards are measures of some of those criteria found in Iowa Code sections 10A.714(1)</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“q”</w:t>
      </w:r>
      <w:r>
        <w:rPr>
          <w:rFonts w:ascii="Times New Roman" w:hAnsi="Times New Roman"/>
          <w:b w:val="false"/>
          <w:i w:val="false"/>
          <w:color w:val="000000"/>
          <w:sz w:val="22"/>
        </w:rPr>
        <w:t xml:space="preserve"> and 10A.714(3).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cardiac catheterization and cardiovascular surgery standards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Proposals to commence or expand capacity to perform cardiac catheterization.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Proposals to add new or replace cardiovascular surgery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applications that relate to cardiac catheterization or cardiovascular surgery.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Adult cardiac catheterization laboratory—a diagnostic facility exclusively for intracardiac or coronary artery catheterization on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Pediatric cardiac catheterization laboratory—the same as adult cardiac catheterization laboratory, except exclusively for children and infants.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Cardiac catheterization—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Intracardiac—a diagnostic study of the heart, pulmonary arteries, or both, in which a small catheter passes through a vein or artery in the neck, leg or arm and advances into the great vessels, the heart or the pulmonary arteries. Through this procedure one can measure pressure within the heart and in adjacent veins and arteries, collect blood samples for blood gas analysis and inject radiopaque material, and visualize cardiac and vessel anatomy. The procedure permits detection of congenital and acquired heart abnormalities, the study of ventricular function, the estimation of the orifice size, the placement of pacemakers,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Cardiac catheterization is incomplete without cineangiography, intracardiac pressure measurements, blood gas analysis and the ability to diagnose intracardiac shunts.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Coronary artery catheterization—a diagnostic study of the coronary arteries, in which a small catheter passes through an artery in the leg, neck or arm into a coronary artery orifice. Intravascular pressure measurements are taken, and angiography of the coronary arteries is performed. Catheterization and cineangiocardiography of the left ventricle are an integral part of this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Angiography—</w:t>
      </w:r>
    </w:p>
    <w:p>
      <w:pPr>
        <w:spacing w:before="0" w:after="0"/>
        <w:ind w:left="120"/>
        <w:jc w:val="both"/>
      </w:pPr>
      <w:r>
        <w:rPr>
          <w:rFonts w:ascii="Times New Roman" w:hAnsi="Times New Roman"/>
          <w:b w:val="false"/>
          <w:i w:val="false"/>
          <w:color w:val="000000"/>
          <w:sz w:val="22"/>
        </w:rPr>
        <w:t>The photographic recording of X-ray or radiologic images of blood vessels, in any part of the body—the heart, the head, the great vessels, the kidney,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In the procedure blood vessels are injected with a radiopaque chemical. Immediately following injection, X-rays are employed to image the path of the injected chemical. These X-ray images are then photographically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Angiocardiography—</w:t>
      </w:r>
    </w:p>
    <w:p>
      <w:pPr>
        <w:spacing w:before="0" w:after="0"/>
        <w:ind w:left="120"/>
        <w:jc w:val="both"/>
      </w:pPr>
      <w:r>
        <w:rPr>
          <w:rFonts w:ascii="Times New Roman" w:hAnsi="Times New Roman"/>
          <w:b w:val="false"/>
          <w:i w:val="false"/>
          <w:color w:val="000000"/>
          <w:sz w:val="22"/>
        </w:rPr>
        <w:t>The recording of moving X-ray images (fluoroscopic images) of the heart and great vessels. After injection of radiopaque chemicals, moving X-rays of the chemical’s flow are projected on a screen called a fluoroscope. Moving pictures (cineangiocardiography) or still pictures in sequence (serialography) may be recorded of the X-ray 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Adult cardiovascular surgery—cardiovascular surgery exclusively for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Pediatric cardiovascular surgery—cardiovascular surgery exclusively for infants and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Cardiovascular surgery—the services associated with and surgery performed for congenital or acquired diseases of the heart, great vessels, or pericardium, including the placement of travenous and epicardial pacemakers.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 heart surgery—cardiovascular surgery in which an incision of sufficient size is made to allow direct vision of the area. Open heart surgery requires temporary use of a heart-lung (cardiopulmonary bypass) machine, as blood flow through the heart is greatly reduced or stopped altogether.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Coronary artery surgery—surgery to correct inadequate blood flow to the heart using revascularization techniques to bypass significantly obstructed coronary artery lesions.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Closed heart surgery—cardiovascular surgery in which a small incision and repairs are made without direct vision of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2203.2(3)</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Minimum utilization—cardiovascular surgery (Iowa Code section </w:t>
      </w:r>
      <w:hyperlink r:id="rId5">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Adult cardiovascular surgical programs should project an annual minimum rate of over 200, or no approval will be granted. Higher case loads over 200 per annum are encouraged.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Pediatric cardiovascular surgical units should project a minimum of 100 pediatric heart operations after the first year, at least 75 of which must be open heart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Combined adult/pediatric cardiovascular surgery units should project the minimum projected annual rates for both adult and pediatric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Applicants should project utilization of cardiovascular surgery, catheterization and cardiac care units based upon service area population demographics, current regional or national utilization rates of the service, disease incidence and prevalence rates, current cardiac care treatment modes, and in consideration those adult cardiovascular surgery units currently operating in Iowa, and bordering states within the project’s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Expansions—cardiovascular surgery (Iowa Code section </w:t>
      </w:r>
      <w:hyperlink r:id="rId6">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w:t>
      </w:r>
      <w:r>
        <w:rPr>
          <w:rFonts w:ascii="Times New Roman" w:hAnsi="Times New Roman"/>
          <w:b w:val="false"/>
          <w:i/>
          <w:color w:val="000000"/>
          <w:sz w:val="22"/>
        </w:rPr>
        <w:t>“d,”</w:t>
      </w:r>
      <w:r>
        <w:rPr>
          <w:rFonts w:ascii="Times New Roman" w:hAnsi="Times New Roman"/>
          <w:b w:val="false"/>
          <w:i/>
          <w:color w:val="000000"/>
          <w:sz w:val="22"/>
        </w:rPr>
        <w:t>“e,”</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should be no additional adult cardiovascular surgery units initiated, unless each existing unit within the project’s service area is operating at a minimum of 200 open heart surgery cases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should be no additional pediatric cardiovascular surgery units initiated, unless each existing unit within the project’s service area is operating at 100 surgeries per year. If one team serves more than one institution, the numbers for those institutions should be combined.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annual utilization of the other cardiovascular surgery units within the area is below the levels noted above, future utilization above that current level must be reasonably projected or reasons for permanently utilizing the equipment below the level must be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will demonstrate that an attempt was made to determine with the cooperation of existing providers whether such a reduction would occur. Existing providers of consequence are generally within two hours’ surface travel time for adult services and within three for pediatric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Minimum utilization—cardiac catheterization (Iowa Code section </w:t>
      </w:r>
      <w:hyperlink r:id="rId7">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w:t>
      </w:r>
      <w:r>
        <w:rPr>
          <w:rFonts w:ascii="Times New Roman" w:hAnsi="Times New Roman"/>
          <w:b w:val="false"/>
          <w:i/>
          <w:color w:val="000000"/>
          <w:sz w:val="22"/>
        </w:rPr>
        <w:t>“d,”</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Adult cardiac catheterization laboratories should be projected to operate at a minimum of 300 catheterizations per annum.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Pediatric catheterization laboratory units should project a minimum of 150 catheterizations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Combined units should meet each of the adult and pediatric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 should project utilization of cardiac catheterization units based upon service area population demographics, current regional or national utilization rates of the service, disease incidence and prevalence rates, current cardiac care treatment modes, and in consideration those adult cardiovascular surgery units currently operating in Iowa, and bordering states within the project’s service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Expansions—cardiac catheterizations (Iowa Code section </w:t>
      </w:r>
      <w:hyperlink r:id="rId8">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w:t>
      </w:r>
      <w:r>
        <w:rPr>
          <w:rFonts w:ascii="Times New Roman" w:hAnsi="Times New Roman"/>
          <w:b w:val="false"/>
          <w:i/>
          <w:color w:val="000000"/>
          <w:sz w:val="22"/>
        </w:rPr>
        <w:t>“d,”</w:t>
      </w:r>
      <w:r>
        <w:rPr>
          <w:rFonts w:ascii="Times New Roman" w:hAnsi="Times New Roman"/>
          <w:b w:val="false"/>
          <w:i/>
          <w:color w:val="000000"/>
          <w:sz w:val="22"/>
        </w:rPr>
        <w:t>“e,”</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should be no additional adult cardiac catheterization unit opened unless the number of studies per year in each existing unit within the project’s service area is greater than 300. No additional pediatric unit should be opened unless the number of studies per year in each existing unit within the project’s services area is greater than 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annual utilization of the other cardiovascular surgery units within the area is below the levels noted above, future utilization above that current level must be reasonably projected or reasons for permanently utilizing the equipment below the level must be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must demonstrate that an attempt was made to determine with the cooperation of existing providers whether such a reduction would occur. Existing providers of consequence are those within two hours’ surface travel time for adults or three for pediatrics.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2203.2(4)</w:t>
      </w:r>
      <w:r>
        <w:rPr>
          <w:rFonts w:ascii="Times New Roman" w:hAnsi="Times New Roman"/>
          <w:b w:val="false"/>
          <w:i w:val="false"/>
          <w:color w:val="000000"/>
          <w:sz w:val="22"/>
        </w:rPr>
        <w:t> </w:t>
      </w:r>
      <w:r>
        <w:rPr>
          <w:rFonts w:ascii="Times New Roman" w:hAnsi="Times New Roman"/>
          <w:b w:val="false"/>
          <w:i/>
          <w:color w:val="000000"/>
          <w:sz w:val="22"/>
        </w:rPr>
        <w:t xml:space="preserve">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Financial feasibility. </w:t>
      </w:r>
      <w:r>
        <w:rPr>
          <w:rFonts w:ascii="Times New Roman" w:hAnsi="Times New Roman"/>
          <w:b w:val="false"/>
          <w:i w:val="false"/>
          <w:color w:val="000000"/>
          <w:sz w:val="22"/>
        </w:rPr>
        <w:t xml:space="preserve">(Iowa Code section </w:t>
      </w:r>
      <w:hyperlink r:id="rId9">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“f,”</w:t>
      </w:r>
      <w:r>
        <w:rPr>
          <w:rFonts w:ascii="Times New Roman" w:hAnsi="Times New Roman"/>
          <w:b w:val="false"/>
          <w:i/>
          <w:color w:val="000000"/>
          <w:sz w:val="22"/>
        </w:rPr>
        <w:t>“i,”</w:t>
      </w:r>
      <w:r>
        <w:rPr>
          <w:rFonts w:ascii="Times New Roman" w:hAnsi="Times New Roman"/>
          <w:b w:val="false"/>
          <w:i/>
          <w:color w:val="000000"/>
          <w:sz w:val="22"/>
        </w:rPr>
        <w:t>“p”</w:t>
      </w:r>
      <w:r>
        <w:rPr>
          <w:rFonts w:ascii="Times New Roman" w:hAnsi="Times New Roman"/>
          <w:b w:val="false"/>
          <w:i w:val="false"/>
          <w:color w:val="000000"/>
          <w:sz w:val="22"/>
        </w:rPr>
        <w:t>) Cardiovascular surgery and catheterization equipment and associated remodeling or construction should be depreciated over a period consistent with generally accepted accounting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Cost-effectiveness. </w:t>
      </w:r>
      <w:r>
        <w:rPr>
          <w:rFonts w:ascii="Times New Roman" w:hAnsi="Times New Roman"/>
          <w:b w:val="false"/>
          <w:i w:val="false"/>
          <w:color w:val="000000"/>
          <w:sz w:val="22"/>
        </w:rPr>
        <w:t>Proposed new or replacement cardiac catheterization laboratories cost per catheterization and cardiovascular surgery services estimated costs per surgery should when compared to their peers demonstrate cost-effectiveness.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 xml:space="preserve">(Iowa Code section </w:t>
      </w:r>
      <w:hyperlink r:id="rId10">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w:t>
      </w:r>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Cardiovascular surgery units and cardiac catheterization labs should meet the needs of the communities that the units and labs are meant to 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Cardiac catheterization and cardiovascular surgery service should be provided regardless of ability to pay, in consideration of those programs available in the state that serve the medically indigent.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2203.2(6)</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 xml:space="preserve">(Iowa Code section </w:t>
      </w:r>
      <w:hyperlink r:id="rId11">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“i,”</w:t>
      </w:r>
      <w:r>
        <w:rPr>
          <w:rFonts w:ascii="Times New Roman" w:hAnsi="Times New Roman"/>
          <w:b w:val="false"/>
          <w:i/>
          <w:color w:val="000000"/>
          <w:sz w:val="22"/>
        </w:rPr>
        <w:t>“k”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surgery unit and cardiac catheterization lab shall demonstrate a reasonable set of criteria that are used in selecting appropriate candidates for surgery and catheterization.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Staffing minimums.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open heart surgery team should minimally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two certified or board-eligible cardiovascular surgeons for the first 75 to 130 pediatric open heart surgeries. If pediatric surgery is performed, one surgeon must have special training and experience in surgery for congenital cardiac defects.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Board-certified or board-eligible adult or pediatric cardiologist(s). The latter only if pediatric surgery is performed, the former only if adult surgery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Board-certified or board-eligible anesthesiologist with special training in the management of cardiovascular cases’ respiratory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Radiologist trained in the cardiovascular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Pathologist familiar with cardiac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Surgical nursing staff specially trained in heart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Cardiopulmonary bypass pump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ancillary staff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applicant will document that the proposed surgery unit can be so staffed when completed and operational.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Equipment and facilities. The applicant seeking to provide cardiovascular surgery should demonstrate that the following support services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X-ray diagnostic facilities and facilities for emergency X-rays on a 24-hour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cardiac catheterization laboratory or angiography lab available on a 24-hour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cardiographics laboratory, with facilities for recording the following tests: EKG, vector cardiogram, phonocardiogram, echocardiogram, and exercise stress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supporting blood bank and hematology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microbiology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Cardiac catheterization labs serving infants and children should have biplane angiographic equipment, either cineangiocardiographic or cut film. Pediatric cardiac catheterization labs should be supervised by board-certified or board-eligible pediatric cardiologists; adult cardiac catheterization labs should be supervised by a board-certified or board-eligible adult cardiologist.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2203.2(7)</w:t>
      </w:r>
      <w:r>
        <w:rPr>
          <w:rFonts w:ascii="Times New Roman" w:hAnsi="Times New Roman"/>
          <w:b w:val="false"/>
          <w:i w:val="false"/>
          <w:color w:val="000000"/>
          <w:sz w:val="22"/>
        </w:rPr>
        <w:t> </w:t>
      </w:r>
      <w:r>
        <w:rPr>
          <w:rFonts w:ascii="Times New Roman" w:hAnsi="Times New Roman"/>
          <w:b w:val="false"/>
          <w:i/>
          <w:color w:val="000000"/>
          <w:sz w:val="22"/>
        </w:rPr>
        <w:t xml:space="preserve">Continuity. </w:t>
      </w:r>
      <w:r>
        <w:rPr>
          <w:rFonts w:ascii="Times New Roman" w:hAnsi="Times New Roman"/>
          <w:b w:val="false"/>
          <w:i w:val="false"/>
          <w:color w:val="000000"/>
          <w:sz w:val="22"/>
        </w:rPr>
        <w:t xml:space="preserve">(Iowa Code section </w:t>
      </w:r>
      <w:hyperlink r:id="rId12">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color w:val="000000"/>
          <w:sz w:val="22"/>
        </w:rPr>
        <w:t>“i,”</w:t>
      </w:r>
      <w:r>
        <w:rPr>
          <w:rFonts w:ascii="Times New Roman" w:hAnsi="Times New Roman"/>
          <w:b w:val="false"/>
          <w:i/>
          <w:color w:val="000000"/>
          <w:sz w:val="22"/>
        </w:rPr>
        <w:t>“k”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should demonstrate that an attempt was made to solicit letters of support from area hospitals and physicians to indicate a community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should provide documentation that emergency medical transport services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Institutions providing cardiovascular surgery services should include mechanisms for comprehensive medical followup including adequate medical records exchange.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2203.2(8)</w:t>
      </w:r>
      <w:r>
        <w:rPr>
          <w:rFonts w:ascii="Times New Roman" w:hAnsi="Times New Roman"/>
          <w:b w:val="false"/>
          <w:i w:val="false"/>
          <w:color w:val="000000"/>
          <w:sz w:val="22"/>
        </w:rPr>
        <w:t> </w:t>
      </w:r>
      <w:r>
        <w:rPr>
          <w:rFonts w:ascii="Times New Roman" w:hAnsi="Times New Roman"/>
          <w:b w:val="false"/>
          <w:i/>
          <w:color w:val="000000"/>
          <w:sz w:val="22"/>
        </w:rPr>
        <w:t xml:space="preserve">Acceptability. </w:t>
      </w:r>
      <w:r>
        <w:rPr>
          <w:rFonts w:ascii="Times New Roman" w:hAnsi="Times New Roman"/>
          <w:b w:val="false"/>
          <w:i w:val="false"/>
          <w:color w:val="000000"/>
          <w:sz w:val="22"/>
        </w:rPr>
        <w:t xml:space="preserve">(Iowa Code section </w:t>
      </w:r>
      <w:hyperlink r:id="rId13">
        <w:r>
          <w:rPr>
            <w:rStyle w:val="Hyperlink"/>
            <w:rFonts w:ascii="Times New Roman" w:hAnsi="Times New Roman"/>
            <w:b w:val="false"/>
            <w:i w:val="false"/>
            <w:color w:val="000000"/>
            <w:sz w:val="22"/>
          </w:rPr>
          <w:t>10A.714(1)</w:t>
        </w:r>
      </w:hyperlink>
      <w:r>
        <w:rPr>
          <w:rFonts w:ascii="Times New Roman" w:hAnsi="Times New Roman"/>
          <w:b w:val="false"/>
          <w:i w:val="false"/>
          <w:color w:val="000000"/>
          <w:sz w:val="22"/>
        </w:rPr>
        <w:t>) Facilities with cardiovascular surgery and cardiac catheterization indicate a willingness to observe and respect the rights of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481—2203.3</w:t>
      </w:r>
      <w:r>
        <w:rPr>
          <w:rFonts w:ascii="Times New Roman" w:hAnsi="Times New Roman"/>
          <w:b/>
          <w:i w:val="false"/>
          <w:color w:val="000000"/>
          <w:sz w:val="22"/>
        </w:rPr>
        <w:t xml:space="preserve">(10A) </w:t>
      </w:r>
      <w:r>
        <w:rPr>
          <w:rFonts w:ascii="Times New Roman" w:hAnsi="Times New Roman"/>
          <w:b/>
          <w:i w:val="false"/>
          <w:color w:val="000000"/>
          <w:sz w:val="22"/>
        </w:rPr>
        <w:t xml:space="preserve">Radiation therapy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2203.3(1)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These standards provide guidelines to assist the council in applying those criteria in Iowa Code sections 10A.714(1)</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“r”</w:t>
      </w:r>
      <w:r>
        <w:rPr>
          <w:rFonts w:ascii="Times New Roman" w:hAnsi="Times New Roman"/>
          <w:b w:val="false"/>
          <w:i w:val="false"/>
          <w:color w:val="000000"/>
          <w:sz w:val="22"/>
        </w:rPr>
        <w:t xml:space="preserve"> and 10A.714(3).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radiation therapy standards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Proposals to commence or expand the kind or capacity of megavoltage radiation therapy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Proposals to replace a megavoltage radiation therapy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applications that relate to megavoltage radiation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2203.3(2)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“Conjoint radiation oncology center”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“cancer center” </w:t>
      </w:r>
      <w:r>
        <w:rPr>
          <w:rFonts w:ascii="Times New Roman" w:hAnsi="Times New Roman"/>
          <w:b w:val="false"/>
          <w:i w:val="false"/>
          <w:color w:val="000000"/>
          <w:sz w:val="22"/>
        </w:rPr>
        <w:t>means a multi-institution, multidisciplinary network to provide radiation therapy for cancer patients. Integration of patient care management, common utilization of personnel and equipment, and a single system of records between center institutions ensures optimal care regardless of entry portal.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“Dosimetrist” </w:t>
      </w:r>
      <w:r>
        <w:rPr>
          <w:rFonts w:ascii="Times New Roman" w:hAnsi="Times New Roman"/>
          <w:b w:val="false"/>
          <w:i w:val="false"/>
          <w:color w:val="000000"/>
          <w:sz w:val="22"/>
        </w:rPr>
        <w:t>means a staff member who calculates, verifies, and develops treatment plans for the radiation dose distributions that will be delivered to patients. The dosimetrist is an essential member of the treatment planning team and works closely with radiation oncologists and radiation physicists.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“Megavoltage therapy” </w:t>
      </w:r>
      <w:r>
        <w:rPr>
          <w:rFonts w:ascii="Times New Roman" w:hAnsi="Times New Roman"/>
          <w:b w:val="false"/>
          <w:i w:val="false"/>
          <w:color w:val="000000"/>
          <w:sz w:val="22"/>
        </w:rPr>
        <w:t>means the use of ionizing radiation in excess of one million electron volts. Energies above one million electron volts cause considerably less skin damage, increase depth dose markedly, and result in much less scatter from the therapeutic beam. Megavoltage machines are classified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Electron accelerator. A machine such as a linear accelerator that uses a supply of electrons, which are accelerated into high energy beams. These electron beams are either caused to strike a target resulting in high energy X-ray production or are used themselves as the treatment beam. Electron accelerators generate over one million electron volts.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Heavy particle accelerator. A machine such as a cyclotron that produces beams of high energy particles such as protons, neutrons, pions, carbon ions, or other heavy ions with masses greater than that of an electron.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Isotope sources (gamma ray teletherapy units).</w:t>
      </w:r>
    </w:p>
    <w:p>
      <w:pPr>
        <w:spacing w:before="0" w:after="0"/>
        <w:ind w:left="120"/>
        <w:jc w:val="both"/>
      </w:pPr>
      <w:r>
        <w:rPr>
          <w:rFonts w:ascii="Times New Roman" w:hAnsi="Times New Roman"/>
          <w:b w:val="false"/>
          <w:i w:val="false"/>
          <w:color w:val="000000"/>
          <w:sz w:val="22"/>
        </w:rPr>
        <w:t>Cobalt 60 units—emit gamma rays of approximately 1.2 million electron volts.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“Megavoltage therapy unit” </w:t>
      </w:r>
      <w:r>
        <w:rPr>
          <w:rFonts w:ascii="Times New Roman" w:hAnsi="Times New Roman"/>
          <w:b w:val="false"/>
          <w:i w:val="false"/>
          <w:color w:val="000000"/>
          <w:sz w:val="22"/>
        </w:rPr>
        <w:t>means a piece of megavoltage therapeutic radiologic equipment that provides megavoltage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occurrence” </w:t>
      </w:r>
      <w:r>
        <w:rPr>
          <w:rFonts w:ascii="Times New Roman" w:hAnsi="Times New Roman"/>
          <w:b w:val="false"/>
          <w:i w:val="false"/>
          <w:color w:val="000000"/>
          <w:sz w:val="22"/>
        </w:rPr>
        <w:t>means a course of treatment for a new occurrence on a given patient at a given radiation therapy facility. First-time radiation therapy at a new facility is based on each round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modality” </w:t>
      </w:r>
      <w:r>
        <w:rPr>
          <w:rFonts w:ascii="Times New Roman" w:hAnsi="Times New Roman"/>
          <w:b w:val="false"/>
          <w:i w:val="false"/>
          <w:color w:val="000000"/>
          <w:sz w:val="22"/>
        </w:rPr>
        <w:t>means the method of applying ionizing radiation in the treatment of patients with malignant disease using megavoltage external beam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oncologist” </w:t>
      </w:r>
      <w:r>
        <w:rPr>
          <w:rFonts w:ascii="Times New Roman" w:hAnsi="Times New Roman"/>
          <w:b w:val="false"/>
          <w:i w:val="false"/>
          <w:color w:val="000000"/>
          <w:sz w:val="22"/>
        </w:rPr>
        <w:t xml:space="preserve">means a physician authorized user trained in accordance with </w:t>
      </w:r>
      <w:hyperlink r:id="rId14">
        <w:r>
          <w:rPr>
            <w:rStyle w:val="Hyperlink"/>
            <w:rFonts w:ascii="Times New Roman" w:hAnsi="Times New Roman"/>
            <w:b w:val="false"/>
            <w:i w:val="false"/>
            <w:color w:val="000000"/>
            <w:sz w:val="22"/>
          </w:rPr>
          <w:t>641—subrule 41.3(5)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therapy facility”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“facility” </w:t>
      </w:r>
      <w:r>
        <w:rPr>
          <w:rFonts w:ascii="Times New Roman" w:hAnsi="Times New Roman"/>
          <w:b w:val="false"/>
          <w:i w:val="false"/>
          <w:color w:val="000000"/>
          <w:sz w:val="22"/>
        </w:rPr>
        <w:t>means the physical space that houses a megavoltage therapy unit and accompanying support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therapy physicist” </w:t>
      </w:r>
      <w:r>
        <w:rPr>
          <w:rFonts w:ascii="Times New Roman" w:hAnsi="Times New Roman"/>
          <w:b w:val="false"/>
          <w:i w:val="false"/>
          <w:color w:val="000000"/>
          <w:sz w:val="22"/>
        </w:rPr>
        <w:t xml:space="preserve">means an individual who works closely with radiation oncologists and is responsible for the safe and accurate delivery of radiation to patients. A radiation therapy physicist conducts quality control programs for the equipment and procedures, as well as calibrating the equipment. A radiation therapy physicist shall practice in accordance with </w:t>
      </w:r>
      <w:hyperlink r:id="rId15">
        <w:r>
          <w:rPr>
            <w:rStyle w:val="Hyperlink"/>
            <w:rFonts w:ascii="Times New Roman" w:hAnsi="Times New Roman"/>
            <w:b w:val="false"/>
            <w:i w:val="false"/>
            <w:color w:val="000000"/>
            <w:sz w:val="22"/>
          </w:rPr>
          <w:t>641—subrule 41.3(6)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therapy technologist” </w:t>
      </w:r>
      <w:r>
        <w:rPr>
          <w:rFonts w:ascii="Times New Roman" w:hAnsi="Times New Roman"/>
          <w:b w:val="false"/>
          <w:i w:val="false"/>
          <w:color w:val="000000"/>
          <w:sz w:val="22"/>
        </w:rPr>
        <w:t xml:space="preserve">means an individual who possesses an Iowa permit to practice as a radiation therapist in accordance with rule </w:t>
      </w:r>
      <w:hyperlink r:id="rId16">
        <w:r>
          <w:rPr>
            <w:rStyle w:val="Hyperlink"/>
            <w:rFonts w:ascii="Times New Roman" w:hAnsi="Times New Roman"/>
            <w:b w:val="false"/>
            <w:i w:val="false"/>
            <w:color w:val="000000"/>
            <w:sz w:val="22"/>
          </w:rPr>
          <w:t>641—42.7</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area” </w:t>
      </w:r>
      <w:r>
        <w:rPr>
          <w:rFonts w:ascii="Times New Roman" w:hAnsi="Times New Roman"/>
          <w:b w:val="false"/>
          <w:i w:val="false"/>
          <w:color w:val="000000"/>
          <w:sz w:val="22"/>
        </w:rPr>
        <w:t>means the county in which the facility is located and any other counties from which the applicant expects to draw patients with a cancer diagnosis who need radiation therapy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“Simulation” </w:t>
      </w:r>
      <w:r>
        <w:rPr>
          <w:rFonts w:ascii="Times New Roman" w:hAnsi="Times New Roman"/>
          <w:b w:val="false"/>
          <w:i w:val="false"/>
          <w:color w:val="000000"/>
          <w:sz w:val="22"/>
        </w:rPr>
        <w:t>means the precise mock-up of a patient treatment with an apparatus that uses planar X-rays, magnetic resonance imaging device, or computed tomography scanner, which is used in reproducing the two-dimensional or three-dimensional internal or external geometry to the patient, for use in treatment planning and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“Superficial X-ray therapy” </w:t>
      </w:r>
      <w:r>
        <w:rPr>
          <w:rFonts w:ascii="Times New Roman" w:hAnsi="Times New Roman"/>
          <w:b w:val="false"/>
          <w:i w:val="false"/>
          <w:color w:val="000000"/>
          <w:sz w:val="22"/>
        </w:rPr>
        <w:t>means the use of a conventional X-ray machine, which generates X-rays of up to 150 kilovolts (150 kv), to treat superficial lesions, such as skin 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“Treatment” </w:t>
      </w:r>
      <w:r>
        <w:rPr>
          <w:rFonts w:ascii="Times New Roman" w:hAnsi="Times New Roman"/>
          <w:b w:val="false"/>
          <w:i w:val="false"/>
          <w:color w:val="000000"/>
          <w:sz w:val="22"/>
        </w:rPr>
        <w:t>means radiation fields applied in a single patient visit fraction or delivery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2203.3(3)</w:t>
      </w:r>
      <w:r>
        <w:rPr>
          <w:rFonts w:ascii="Times New Roman" w:hAnsi="Times New Roman"/>
          <w:b w:val="false"/>
          <w:i w:val="false"/>
          <w:color w:val="000000"/>
          <w:sz w:val="22"/>
        </w:rPr>
        <w:t> </w:t>
      </w:r>
      <w:r>
        <w:rPr>
          <w:rFonts w:ascii="Times New Roman" w:hAnsi="Times New Roman"/>
          <w:b w:val="false"/>
          <w:i/>
          <w:color w:val="000000"/>
          <w:sz w:val="22"/>
        </w:rPr>
        <w:t xml:space="preserve">Availability.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Minimum utilization. </w:t>
      </w:r>
      <w:r>
        <w:rPr>
          <w:rFonts w:ascii="Times New Roman" w:hAnsi="Times New Roman"/>
          <w:b w:val="false"/>
          <w:i w:val="false"/>
          <w:color w:val="000000"/>
          <w:sz w:val="22"/>
        </w:rPr>
        <w:t xml:space="preserve">(Iowa Code section </w:t>
      </w:r>
      <w:hyperlink r:id="rId17">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megavoltage radiation therapy unit and cobalt units should treat at least 250 new occurrences annually within three years after initiation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expected number of new occurrences needing megavoltage radiation therapy annually in a service area should be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Multiply the service area population times 0.00582 (5.82/1,000 population was the mean cancer incidence rate in 2017 in Iowa as filed by the Surveillance, Epidemiology, and End Results (SEER)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Multiply this product times .5 (50 percent of all new occurrences receive radiation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expected volume of utilization sufficient to support the need for a new megavoltage therapy unit should be calculated as follows: each unit shall provide a minimum of 5,000 treatments per annum. Megavoltage treatments should be projected by multiplying the number of projected new occurrences needing megavoltage therapy times 20, which will result in no fewer than 5,000 treatments per annum.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Applicants shall account for other providers of radiation therapy in the service area including, but not limited to, factors such as technological capability and quality. Applicants shall address in their application other providers and the impact on those providers in the service area and compare technological capability and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Applicants should provide a map of the expected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Institutions that form a conjoint oncology center should have at least 500 new occurrences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Simulator availability. </w:t>
      </w:r>
      <w:r>
        <w:rPr>
          <w:rFonts w:ascii="Times New Roman" w:hAnsi="Times New Roman"/>
          <w:b w:val="false"/>
          <w:i w:val="false"/>
          <w:color w:val="000000"/>
          <w:sz w:val="22"/>
        </w:rPr>
        <w:t>A simulator should be available within a radiation oncology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2203.3(4)</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(Iowa Code section 10A.714(1)</w:t>
      </w:r>
      <w:r>
        <w:rPr>
          <w:rFonts w:ascii="Times New Roman" w:hAnsi="Times New Roman"/>
          <w:b w:val="false"/>
          <w:i/>
          <w:color w:val="000000"/>
          <w:sz w:val="22"/>
        </w:rPr>
        <w:t>“c,”</w:t>
      </w:r>
      <w:r>
        <w:rPr>
          <w:rFonts w:ascii="Times New Roman" w:hAnsi="Times New Roman"/>
          <w:b w:val="false"/>
          <w:i/>
          <w:color w:val="000000"/>
          <w:sz w:val="22"/>
        </w:rPr>
        <w:t>“d”</w:t>
      </w:r>
      <w:r>
        <w:rPr>
          <w:rFonts w:ascii="Times New Roman" w:hAnsi="Times New Roman"/>
          <w:b w:val="false"/>
          <w:i w:val="false"/>
          <w:color w:val="000000"/>
          <w:sz w:val="22"/>
        </w:rPr>
        <w:t>) Radiation therapy services should be provided regardless of ability to pay, in consideration of those programs available in the state that serve the medically indigent.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2203.3(5)</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(Iowa Code section 10A.714(1)</w:t>
      </w:r>
      <w:r>
        <w:rPr>
          <w:rFonts w:ascii="Times New Roman" w:hAnsi="Times New Roman"/>
          <w:b w:val="false"/>
          <w:i/>
          <w:color w:val="000000"/>
          <w:sz w:val="22"/>
        </w:rPr>
        <w:t>“i,”</w:t>
      </w:r>
      <w:r>
        <w:rPr>
          <w:rFonts w:ascii="Times New Roman" w:hAnsi="Times New Roman"/>
          <w:b w:val="false"/>
          <w:i/>
          <w:color w:val="000000"/>
          <w:sz w:val="22"/>
        </w:rPr>
        <w:t>“k”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Minimum staffing requirements for radiation therapy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facility will have the services of at least one radiation oncologist.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facility will have the services of at least one radiation therapy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facility will have the services of radiation therapy technologists that should be staffed at a level of two technologists per megavoltage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facility should have the services of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Each facility should have the services of at least one dosimetrist.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Each facility should have the services of one radiation therapist or radiation technologist competent to operate a CT simulator.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conjoint center will have at least two cancer biologists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conjoint center will have one radiation technologist available for each simulator.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long-range plans for radiation therapy services shall be submitted to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Multidisciplinary tumor boards should be established in all institutions housing megavoltage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source of continuing education should exist within each conjoint center to reach participating community referral hospitals and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Each conjoint center should have a unified training program in radiation therapy for radiation oncologists.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Each radiation therapy facility should offer psychosocial counseling services and nutritional counseling.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2203.3(6)</w:t>
      </w:r>
      <w:r>
        <w:rPr>
          <w:rFonts w:ascii="Times New Roman" w:hAnsi="Times New Roman"/>
          <w:b w:val="false"/>
          <w:i w:val="false"/>
          <w:color w:val="000000"/>
          <w:sz w:val="22"/>
        </w:rPr>
        <w:t> </w:t>
      </w:r>
      <w:r>
        <w:rPr>
          <w:rFonts w:ascii="Times New Roman" w:hAnsi="Times New Roman"/>
          <w:b w:val="false"/>
          <w:i/>
          <w:color w:val="000000"/>
          <w:sz w:val="22"/>
        </w:rPr>
        <w:t xml:space="preserve">Continuity. </w:t>
      </w:r>
      <w:r>
        <w:rPr>
          <w:rFonts w:ascii="Times New Roman" w:hAnsi="Times New Roman"/>
          <w:b w:val="false"/>
          <w:i w:val="false"/>
          <w:color w:val="000000"/>
          <w:sz w:val="22"/>
        </w:rPr>
        <w:t>(Iowa Code section 10A.714(1)</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color w:val="000000"/>
          <w:sz w:val="22"/>
        </w:rPr>
        <w:t>“i,”</w:t>
      </w:r>
      <w:r>
        <w:rPr>
          <w:rFonts w:ascii="Times New Roman" w:hAnsi="Times New Roman"/>
          <w:b w:val="false"/>
          <w:i/>
          <w:color w:val="000000"/>
          <w:sz w:val="22"/>
        </w:rPr>
        <w:t>“k”</w:t>
      </w:r>
      <w:r>
        <w:rPr>
          <w:rFonts w:ascii="Times New Roman" w:hAnsi="Times New Roman"/>
          <w:b w:val="false"/>
          <w:i w:val="false"/>
          <w:color w:val="000000"/>
          <w:sz w:val="22"/>
        </w:rPr>
        <w:t>) The applicant should demonstrate that an attempt was made to solicit letters and establish referral agreements from area hospitals and physicians to indicate their willingness to participate in a cooperative endeavor to refer to the proposed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481—2203.4</w:t>
      </w:r>
      <w:r>
        <w:rPr>
          <w:rFonts w:ascii="Times New Roman" w:hAnsi="Times New Roman"/>
          <w:b/>
          <w:i w:val="false"/>
          <w:color w:val="000000"/>
          <w:sz w:val="22"/>
        </w:rPr>
        <w:t xml:space="preserve">(10A) </w:t>
      </w:r>
      <w:r>
        <w:rPr>
          <w:rFonts w:ascii="Times New Roman" w:hAnsi="Times New Roman"/>
          <w:b/>
          <w:i w:val="false"/>
          <w:color w:val="000000"/>
          <w:sz w:val="22"/>
        </w:rPr>
        <w:t xml:space="preserve">Computerized tomography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2203.4(1)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standards are measures of some of those criteria in Iowa Code section </w:t>
      </w:r>
      <w:hyperlink r:id="rId18">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“l.”</w:t>
      </w:r>
      <w:r>
        <w:rPr>
          <w:rFonts w:ascii="Times New Roman" w:hAnsi="Times New Roman"/>
          <w:b w:val="false"/>
          <w:i w:val="false"/>
          <w:color w:val="000000"/>
          <w:sz w:val="22"/>
        </w:rPr>
        <w:t xml:space="preserve">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computerized tomography standards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Proposals to commence or expand the capacity of computerized tomography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other applications that relate to computerized tomography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2203.4(2)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Computerized tomographic (CT) scanner—a diagnostic tool that rotates about and that sends X-ray beams through the body or brain. The X-ray beams that emerge from the body or brain are absorbed by a detector. Differences in the amount of X-rays absorbed by the detector indicate differences in tissue density. As the scanner rotates, it takes many images of a volume or cross-section. The images on the detector are transmitted to a computer that displays on a monitor a reconstructed cross-sectional slice or volume. Contrast media is often injected to alter absorption of the detector. If the scan is repeated, it is called enhancement. Studies of the heart, arteries and veins may be done with contrast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Whole body scanner—one capable of imaging the entire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Head scanner—one capable of imaging only the brain and structures adjacent to the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Enhanced scan—a scan performed on a patient who has been administered a contrast medium so that specific organs or areas of the body will be displayed more distinctly on the scan 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Minimum shared-market area for a scanner (hereafter referred to as “area”)—the smallest geographic area within which any scanner installation is judged to affect the utilization rate of any other scanner is the community (as defined by the U.S. Bureau of the Census) or a Standard Metropolitan Statistical Area (where an area is so designated).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Emergency medical service (EMS) level II trauma service—the level of various services and staffing that qualify a facility to be designated by the emergency medical service division of the Iowa department of health and human services, using the facilities categorization criteria of such services that is in effect on the date of the enactment of this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Shared service agreements—a multi-institutional arrangement for coordination or consolidation of services or sharing of support services. Among the various types of arrangements are referred services, purchased or joint contract services, multisponsored services and regional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CT consortia—a cooperative venture in which two or more institutions form a separate entity that is created for the purpose of owning, leasing, planning for, and maintaining the use of the scanner. Each facility in the consortium maintains its autonomy for all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Applicant—an applicant may be a facility or a consortium of facilities within an area, or a physician or group of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General imaging procedures—a radiological diagnostic procedure performed on an X-ray machine or similar radiological diagnostic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Active oncology service—full, multidisciplinary cancer care, provided by a medical team that would include: surgery, gynecology, medical oncology, radiation oncology, pathology, diagnostic radiology and nuclear medicine. The surgery specialties that might be available would include: thoracic, abdominal, genitourinary and gynecological. The active oncology staff would include those specialists with training in oncology, hematology, and pathology and who spend at least half of their time at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Radiotherapy service—the therapeutic application of megavoltage radiation, using a linear accelerator or cobalt unit. The availability of such service at a hospital would necessitate personnel trained in the therapeutic application of radiology.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Chemotherapy service—the treatment of cancer by chemical agents.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2203.4(3)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need.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who do not have a scanner, or who have a scanner and seek a certificate for one or more additional scanners.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in areas with no other scanners.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must have performed at least 30,000 general imaging procedures during the past calendar year or 12 months,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 that during the past calendar year or 12 months, the applicant performed diagnostic procedures equivalent to 1500 HECTs (head equivalent CTs), using the following:</w:t>
      </w:r>
    </w:p>
    <w:p>
      <w:pPr>
        <w:spacing w:before="0" w:after="0"/>
        <w:ind w:left="120"/>
        <w:jc w:val="both"/>
      </w:pPr>
      <w:r>
        <w:rPr>
          <w:rFonts w:ascii="Times New Roman" w:hAnsi="Times New Roman"/>
          <w:b w:val="false"/>
          <w:i w:val="false"/>
          <w:color w:val="000000"/>
          <w:sz w:val="22"/>
        </w:rPr>
        <w:t>100% of the number of patients referred to other facilities for CT diagnosis × 1.75 (in the case of head scans) and 2.75 (in the case of body scans)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Applicants in areas with one or more scanners.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meet the requirement of need, described in subparagraph </w:t>
      </w:r>
      <w:hyperlink r:id="rId19">
        <w:r>
          <w:rPr>
            <w:rStyle w:val="Hyperlink"/>
            <w:rFonts w:ascii="Times New Roman" w:hAnsi="Times New Roman"/>
            <w:b w:val="false"/>
            <w:i w:val="false"/>
            <w:color w:val="000000"/>
            <w:sz w:val="22"/>
          </w:rPr>
          <w:t>2203.4(3)</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average level of utilization for scanners within the area was at least 3000 HECTs (plus or minus 10 percent) for the past calendar year or 12 months. The average level of utilization will be determined by adding the number of HECTs performed during the period at all area facilities divided by the number of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University of Iowa Hospitals and Clinics is specifically exempted from consideration under numbered paragraph </w:t>
      </w:r>
      <w:hyperlink r:id="rId20">
        <w:r>
          <w:rPr>
            <w:rStyle w:val="Hyperlink"/>
            <w:rFonts w:ascii="Times New Roman" w:hAnsi="Times New Roman"/>
            <w:b w:val="false"/>
            <w:i w:val="false"/>
            <w:color w:val="000000"/>
            <w:sz w:val="22"/>
          </w:rPr>
          <w:t>2203.4(3)</w:t>
        </w:r>
        <w:r>
          <w:rPr>
            <w:rFonts w:ascii="Times New Roman" w:hAnsi="Times New Roman"/>
            <w:b w:val="false"/>
            <w:i/>
            <w:color w:val="000000"/>
            <w:sz w:val="22"/>
          </w:rPr>
          <w:t>“a”</w:t>
        </w:r>
        <w:r>
          <w:rPr>
            <w:rFonts w:ascii="Times New Roman" w:hAnsi="Times New Roman"/>
            <w:b w:val="false"/>
            <w:i w:val="false"/>
            <w:color w:val="000000"/>
            <w:sz w:val="22"/>
          </w:rPr>
          <w:t>(2)“2”</w:t>
        </w:r>
      </w:hyperlink>
      <w:r>
        <w:rPr>
          <w:rFonts w:ascii="Times New Roman" w:hAnsi="Times New Roman"/>
          <w:b w:val="false"/>
          <w:i w:val="false"/>
          <w:color w:val="000000"/>
          <w:sz w:val="22"/>
        </w:rPr>
        <w:t xml:space="preserve"> because it has a service area that encompasses the entire state and adjoining states. The utilization statistics for the University Hospital will therefore neither affect nor be affected by Mercy Hospital, Iowa City. Additionally, the utilization statistics for scanners at the University of Nebraska Hospitals and Clinics and St. Joseph’s Hospital (both in Omaha) will not affect the need for scanners at hospitals in Council Bluffs.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Replacement scanners—applicants who currently have a scanner.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applicants seeking to replace a scanner with another scanner, head or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demonstrate that the applicant’s use of the applicant’s current scanner was at least at the operating capacity level during the last calendar year or 12 months,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Below the operating capacity level, but above 1500 CT scan level, and the applicant must demonstrate reasons for permanently utilizing their scanner below operating capacity level and demonstrate that discontinuation of their scanner service would impair the applicant’s ability to respond to the emergency needs of the area. Reasons for utilizing the scanner below the capacity should include a unique patient or procedure mix that would define the capacity level differently for this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2203.4(4)</w:t>
      </w:r>
      <w:r>
        <w:rPr>
          <w:rFonts w:ascii="Times New Roman" w:hAnsi="Times New Roman"/>
          <w:b w:val="false"/>
          <w:i w:val="false"/>
          <w:color w:val="000000"/>
          <w:sz w:val="22"/>
        </w:rPr>
        <w:t> </w:t>
      </w:r>
      <w:r>
        <w:rPr>
          <w:rFonts w:ascii="Times New Roman" w:hAnsi="Times New Roman"/>
          <w:b w:val="false"/>
          <w:i/>
          <w:color w:val="000000"/>
          <w:sz w:val="22"/>
        </w:rPr>
        <w:t xml:space="preserve">Costs and financial feasibility. </w:t>
      </w:r>
      <w:r>
        <w:rPr>
          <w:rFonts w:ascii="Times New Roman" w:hAnsi="Times New Roman"/>
          <w:b w:val="false"/>
          <w:i w:val="false"/>
          <w:color w:val="000000"/>
          <w:sz w:val="22"/>
        </w:rPr>
        <w:t xml:space="preserve">(Iowa Code section </w:t>
      </w:r>
      <w:hyperlink r:id="rId21">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“f,” “i,” “p”</w:t>
      </w:r>
      <w:r>
        <w:rPr>
          <w:rFonts w:ascii="Times New Roman" w:hAnsi="Times New Roman"/>
          <w:b w:val="false"/>
          <w:i w:val="false"/>
          <w:color w:val="000000"/>
          <w:sz w:val="22"/>
        </w:rPr>
        <w:t>) CT scanners should be depreciated over a period of not less than seven years. Remodeling shall be depreciated as appropriate by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Cost-effectiveness. </w:t>
      </w:r>
      <w:r>
        <w:rPr>
          <w:rFonts w:ascii="Times New Roman" w:hAnsi="Times New Roman"/>
          <w:b w:val="false"/>
          <w:i w:val="false"/>
          <w:color w:val="000000"/>
          <w:sz w:val="22"/>
        </w:rPr>
        <w:t>Applicants should demonstrate for themselves and the health care system that the most cost-effective method of providing CT services has been chosen. Proposed new and replacement CT scanner’s cost per CT scan should, when compared to their peers, demonstrate cost-effectiveness.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2203.4(5)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 xml:space="preserve">(Iowa Code section </w:t>
      </w:r>
      <w:hyperlink r:id="rId22">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 “d”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scanners must be available to meet the needs of the communities the scanners are meant to 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should be provided to all patients regardless of the patient’s ability to pay, taking into consideration the availability of those programs available in the state that serve the medically indigent.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Applicants will demonstrate a willingness to accept referrals for CT services from all area physicians.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2203.4(6)</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 xml:space="preserve">(Iowa Code section </w:t>
      </w:r>
      <w:hyperlink r:id="rId23">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“i,” “k”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Data on use and costs of the CT scanners should be submitted to the Iowa department of health and human services as a condition of approval. (Iowa Code section </w:t>
      </w:r>
      <w:hyperlink r:id="rId24">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“a,” “h”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scanners.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applicants must demonstrate that they have on their staff or will acquire on their staff a full-time diagnostic radiologist, trained in the use of the CT scanner, or other physicians with comparable training and expertise.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applicants must document that they have on their medical staff individuals who are qualified to operate a scanner and interpret and act upon the diagnostic results. Such documentation may include reference to board certification, apprenticeship, academic credentials or such other qualifications that would prompt a medical staff to accept the responsibility for offering this new service. Applicants who intend to acquire staff with the desired expertise should provide signed letters of intent from the incoming medical personnel. Applicants who intend to upgrade the specialty skills of their staff should document a plan for training their current staff in the use of CT scanners.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applicants should have a complement of other diagnostic modalities available. Applicants seeking body scanners should also have available ultrasound and conventional X-ray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applicants should have the facilities for treating the conditions diagnosed by imaging with the scanner or should demonstrate referral agreements with treatment facilities, in the event that the scanner will be used as a screening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applicants should have on their staff or available on a consultative basis the services of a biomedical engineer or medical physicist, with special training in CT applications. These functions may also be provided by contract with the scanner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2203.4(7)</w:t>
      </w:r>
      <w:r>
        <w:rPr>
          <w:rFonts w:ascii="Times New Roman" w:hAnsi="Times New Roman"/>
          <w:b w:val="false"/>
          <w:i w:val="false"/>
          <w:color w:val="000000"/>
          <w:sz w:val="22"/>
        </w:rPr>
        <w:t> </w:t>
      </w:r>
      <w:r>
        <w:rPr>
          <w:rFonts w:ascii="Times New Roman" w:hAnsi="Times New Roman"/>
          <w:b w:val="false"/>
          <w:i/>
          <w:color w:val="000000"/>
          <w:sz w:val="22"/>
        </w:rPr>
        <w:t xml:space="preserve">Continuity. </w:t>
      </w:r>
      <w:r>
        <w:rPr>
          <w:rFonts w:ascii="Times New Roman" w:hAnsi="Times New Roman"/>
          <w:b w:val="false"/>
          <w:i w:val="false"/>
          <w:color w:val="000000"/>
          <w:sz w:val="22"/>
        </w:rPr>
        <w:t xml:space="preserve">(Iowa Code section </w:t>
      </w:r>
      <w:hyperlink r:id="rId25">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“g,” “h,” “i,” “k”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should demonstrate that an attempt was made to solicit letters of support from area hospitals and physicians to indicate a community need for the proposed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should provide documentation that emergency medical transport services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should demonstrate an emphasis on the availability of outpatient CT procedures and that an appropriate percentage of all CT procedures will be done on an outpatient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2203.4(8)</w:t>
      </w:r>
      <w:r>
        <w:rPr>
          <w:rFonts w:ascii="Times New Roman" w:hAnsi="Times New Roman"/>
          <w:b w:val="false"/>
          <w:i w:val="false"/>
          <w:color w:val="000000"/>
          <w:sz w:val="22"/>
        </w:rPr>
        <w:t> </w:t>
      </w:r>
      <w:r>
        <w:rPr>
          <w:rFonts w:ascii="Times New Roman" w:hAnsi="Times New Roman"/>
          <w:b w:val="false"/>
          <w:i/>
          <w:color w:val="000000"/>
          <w:sz w:val="22"/>
        </w:rPr>
        <w:t xml:space="preserve">Acceptability. </w:t>
      </w:r>
      <w:r>
        <w:rPr>
          <w:rFonts w:ascii="Times New Roman" w:hAnsi="Times New Roman"/>
          <w:b w:val="false"/>
          <w:i w:val="false"/>
          <w:color w:val="000000"/>
          <w:sz w:val="22"/>
        </w:rPr>
        <w:t xml:space="preserve">(Iowa Code section </w:t>
      </w:r>
      <w:hyperlink r:id="rId26">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“k”</w:t>
      </w:r>
      <w:r>
        <w:rPr>
          <w:rFonts w:ascii="Times New Roman" w:hAnsi="Times New Roman"/>
          <w:b w:val="false"/>
          <w:i w:val="false"/>
          <w:color w:val="000000"/>
          <w:sz w:val="22"/>
        </w:rPr>
        <w:t xml:space="preserve">) Providers of CT services should indicate a willingness to observe the rights of patients.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481—2203.5</w:t>
      </w:r>
      <w:r>
        <w:rPr>
          <w:rFonts w:ascii="Times New Roman" w:hAnsi="Times New Roman"/>
          <w:b/>
          <w:i w:val="false"/>
          <w:color w:val="000000"/>
          <w:sz w:val="22"/>
        </w:rPr>
        <w:t xml:space="preserve">(10A) </w:t>
      </w:r>
      <w:r>
        <w:rPr>
          <w:rFonts w:ascii="Times New Roman" w:hAnsi="Times New Roman"/>
          <w:b/>
          <w:i w:val="false"/>
          <w:color w:val="000000"/>
          <w:sz w:val="22"/>
        </w:rPr>
        <w:t xml:space="preserve">Long-term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2203.5(1)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standards are measures of criteria found in Iowa Code section </w:t>
      </w:r>
      <w:hyperlink r:id="rId27">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r>
        <w:rPr>
          <w:rFonts w:ascii="Times New Roman" w:hAnsi="Times New Roman"/>
          <w:b w:val="false"/>
          <w:i w:val="false"/>
          <w:color w:val="000000"/>
          <w:sz w:val="22"/>
        </w:rPr>
        <w:t xml:space="preserve">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standards include applications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Construct, develop, offer new, modernize, replace, renovate, or relocate intermediate care or skilled nursing care beds in nursing homes or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Expand bed capacity in intermediate care or skilled nursing care facilities or designated units in hospitals.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“Intermediate care facility”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“ICF” </w:t>
      </w:r>
      <w:r>
        <w:rPr>
          <w:rFonts w:ascii="Times New Roman" w:hAnsi="Times New Roman"/>
          <w:b w:val="false"/>
          <w:i w:val="false"/>
          <w:color w:val="000000"/>
          <w:sz w:val="22"/>
        </w:rPr>
        <w:t>means any institution, place, building, or agency providing for a period exceeding 24 consecutive hours accommodation, board, and nursing services, the need for which is certified by a physician, to three or more individuals, not related to the administrator or owner thereof within the third degree of consanguinity, who by reason of illness, disease, or physical or mental infirmity require nursing services that can be provided only under the direction of a registered nurse or a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“Rural counties” </w:t>
      </w:r>
      <w:r>
        <w:rPr>
          <w:rFonts w:ascii="Times New Roman" w:hAnsi="Times New Roman"/>
          <w:b w:val="false"/>
          <w:i w:val="false"/>
          <w:color w:val="000000"/>
          <w:sz w:val="22"/>
        </w:rPr>
        <w:t>means all counties not designated by the U.S. Census as SMA (Standard Metropolitan Area)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“Skilled nursing facility”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“SNF” </w:t>
      </w:r>
      <w:r>
        <w:rPr>
          <w:rFonts w:ascii="Times New Roman" w:hAnsi="Times New Roman"/>
          <w:b w:val="false"/>
          <w:i w:val="false"/>
          <w:color w:val="000000"/>
          <w:sz w:val="22"/>
        </w:rPr>
        <w:t>means any institution, place, building, or agency providing for a period exceeding 24 consecutive hours accommodation, board, and nursing services, the need for which is certified by a physician, to three or more individuals not related to the administrator or owner thereof within the third degree of consanguinity who by reason of illness, disease, or physical or mental infirmity require continuous nursing care services and related medical services, but do not require hospital care. The nursing care services provided must be under the direction of a registered nurse on a 24-hour-per-day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“Urban counties” </w:t>
      </w:r>
      <w:r>
        <w:rPr>
          <w:rFonts w:ascii="Times New Roman" w:hAnsi="Times New Roman"/>
          <w:b w:val="false"/>
          <w:i w:val="false"/>
          <w:color w:val="000000"/>
          <w:sz w:val="22"/>
        </w:rPr>
        <w:t>means those counties designated by the U.S. Census as SMA (Standard Metropolitan Area) counties.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2203.5(3)</w:t>
      </w:r>
      <w:r>
        <w:rPr>
          <w:rFonts w:ascii="Times New Roman" w:hAnsi="Times New Roman"/>
          <w:b w:val="false"/>
          <w:i w:val="false"/>
          <w:color w:val="000000"/>
          <w:sz w:val="22"/>
        </w:rPr>
        <w:t> </w:t>
      </w:r>
      <w:r>
        <w:rPr>
          <w:rFonts w:ascii="Times New Roman" w:hAnsi="Times New Roman"/>
          <w:b w:val="false"/>
          <w:i/>
          <w:color w:val="000000"/>
          <w:sz w:val="22"/>
        </w:rPr>
        <w:t xml:space="preserve">Availability and need. </w:t>
      </w:r>
      <w:r>
        <w:rPr>
          <w:rFonts w:ascii="Times New Roman" w:hAnsi="Times New Roman"/>
          <w:b w:val="false"/>
          <w:i w:val="false"/>
          <w:color w:val="000000"/>
          <w:sz w:val="22"/>
        </w:rPr>
        <w:t xml:space="preserve">(Iowa Code section </w:t>
      </w:r>
      <w:hyperlink r:id="rId28">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 “d,” “e,” “g,” “h”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formula shall be used as a means of projecting the approximate number of intermediate and skilled nursing care beds needed to serve the projected population five years into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Rural counties:</w:t>
      </w:r>
    </w:p>
    <w:p>
      <w:pPr>
        <w:spacing w:before="0" w:after="0"/>
        <w:ind w:left="120"/>
        <w:jc w:val="both"/>
      </w:pPr>
      <w:r>
        <w:rPr>
          <w:rFonts w:ascii="Times New Roman" w:hAnsi="Times New Roman"/>
          <w:b w:val="false"/>
          <w:i w:val="false"/>
          <w:color w:val="000000"/>
          <w:sz w:val="22"/>
        </w:rPr>
        <w:t>[.09(65 + population) + .0015 (64 – population)] × 110% equals total long-term care bed need</w:t>
      </w:r>
    </w:p>
    <w:p>
      <w:pPr>
        <w:spacing w:before="0" w:after="0"/>
        <w:ind w:left="120"/>
        <w:jc w:val="both"/>
      </w:pPr>
      <w:r>
        <w:rPr>
          <w:rFonts w:ascii="Times New Roman" w:hAnsi="Times New Roman"/>
          <w:b w:val="false"/>
          <w:i w:val="false"/>
          <w:color w:val="000000"/>
          <w:sz w:val="22"/>
        </w:rPr>
        <w:t>Combined SNF and ICF bed need equals 2/3 (total long-term care bed need)</w:t>
      </w:r>
    </w:p>
    <w:p>
      <w:pPr>
        <w:spacing w:before="0" w:after="0"/>
        <w:ind w:left="120"/>
        <w:jc w:val="both"/>
      </w:pPr>
      <w:r>
        <w:rPr>
          <w:rFonts w:ascii="Times New Roman" w:hAnsi="Times New Roman"/>
          <w:b w:val="false"/>
          <w:i w:val="false"/>
          <w:color w:val="000000"/>
          <w:sz w:val="22"/>
        </w:rPr>
        <w:t>Assumed RCF bed need equals 1/3 (total long-term care bed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Urban counties:</w:t>
      </w:r>
    </w:p>
    <w:p>
      <w:pPr>
        <w:spacing w:before="0" w:after="0"/>
        <w:ind w:left="120"/>
        <w:jc w:val="both"/>
      </w:pPr>
      <w:r>
        <w:rPr>
          <w:rFonts w:ascii="Times New Roman" w:hAnsi="Times New Roman"/>
          <w:b w:val="false"/>
          <w:i w:val="false"/>
          <w:color w:val="000000"/>
          <w:sz w:val="22"/>
        </w:rPr>
        <w:t>[.07(65 + population) + .0015 (64 – population)] × 110% equals total long-term care bed need</w:t>
      </w:r>
    </w:p>
    <w:p>
      <w:pPr>
        <w:spacing w:before="0" w:after="0"/>
        <w:ind w:left="120"/>
        <w:jc w:val="both"/>
      </w:pPr>
      <w:r>
        <w:rPr>
          <w:rFonts w:ascii="Times New Roman" w:hAnsi="Times New Roman"/>
          <w:b w:val="false"/>
          <w:i w:val="false"/>
          <w:color w:val="000000"/>
          <w:sz w:val="22"/>
        </w:rPr>
        <w:t>Combined SNF and ICF bed need equals 2/3 (total long-term care bed need)</w:t>
      </w:r>
    </w:p>
    <w:p>
      <w:pPr>
        <w:spacing w:before="0" w:after="0"/>
        <w:ind w:left="120"/>
        <w:jc w:val="both"/>
      </w:pPr>
      <w:r>
        <w:rPr>
          <w:rFonts w:ascii="Times New Roman" w:hAnsi="Times New Roman"/>
          <w:b w:val="false"/>
          <w:i w:val="false"/>
          <w:color w:val="000000"/>
          <w:sz w:val="22"/>
        </w:rPr>
        <w:t>Assumed RCF bed need equals 1/3 (total long-term care bed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Economic development authority population projections are adopted for use in the determination of long-term care bed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appeals, and licensing will calculate long-term care bed need figures annually, using population projections five years into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comparing “need” to “existing” beds in a given county, the following shall be considered in the calculation of “existing” beds: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ICF and SNF beds licensed at freestanding facilities in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Additional ICF and SNF beds previously approved through certificate of need but not yet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ICF and SNF beds in designated units in hospitals in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statistical calculation of bed need shall serve as a guideline for the health facilities council in reviewing need for the proposed long-term care beds. Other factors that may be considered by the council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availability and utilization of other ICF and SNF services in the county, or within the applicant’s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availability and utilization of other long-term care services in nearby hospitals, such as skilled care available through the swing bed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availability of supportive living arrangements that may or may not be licensed as residential care facilities (RCF).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availability of home health and other in-home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availability of other services to the elderly.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availability of ICF and SNF services in neighboring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Utilization by out-of-state residents of facilities in counties bordering other states, where the applicant provides evidence that in-migration of long-term care patients exceeds out-migration to the bordering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Programs and services directed at special populations whose needs cannot otherwise be met, or whose needs cannot be met cost-effectively at other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documenting need for a project, the applicant shall identify the service area and target population, including a description of the methodology used by the applicant in determining need for the requested beds and the expected sources of referrals. The applicant shall document that the number of beds requested is appropriate to address the identified need. The applicant shall also identify how the target population is currently being cared for, and what hardship is being experienced by the absence of the proposed beds.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2203.5(4)</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 xml:space="preserve">(Iowa Code section </w:t>
      </w:r>
      <w:hyperlink r:id="rId29">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“i,” “k”</w:t>
      </w:r>
      <w:r>
        <w:rPr>
          <w:rFonts w:ascii="Times New Roman" w:hAnsi="Times New Roman"/>
          <w:b w:val="false"/>
          <w:i w:val="false"/>
          <w:color w:val="000000"/>
          <w:sz w:val="22"/>
        </w:rPr>
        <w:t>) The applicant shall document that the applicant has contacted the health and safety division of the department of inspections, appeals, and licensing to conform with physical standards, staffing requirements, and other licensing requirements to assess the potential for provision of quality care at the facility. When necessary, the applicant shall attempt to arrange an on-site visit to the facility to determine compliance with physical requirements, and shall provide documentation of this site visit or attempts to arrange such a site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2203.5(5)</w:t>
      </w:r>
      <w:r>
        <w:rPr>
          <w:rFonts w:ascii="Times New Roman" w:hAnsi="Times New Roman"/>
          <w:b w:val="false"/>
          <w:i w:val="false"/>
          <w:color w:val="000000"/>
          <w:sz w:val="22"/>
        </w:rPr>
        <w:t> </w:t>
      </w:r>
      <w:r>
        <w:rPr>
          <w:rFonts w:ascii="Times New Roman" w:hAnsi="Times New Roman"/>
          <w:b w:val="false"/>
          <w:i/>
          <w:color w:val="000000"/>
          <w:sz w:val="22"/>
        </w:rPr>
        <w:t xml:space="preserve">Continuity. </w:t>
      </w:r>
      <w:r>
        <w:rPr>
          <w:rFonts w:ascii="Times New Roman" w:hAnsi="Times New Roman"/>
          <w:b w:val="false"/>
          <w:i w:val="false"/>
          <w:color w:val="000000"/>
          <w:sz w:val="22"/>
        </w:rPr>
        <w:t xml:space="preserve">(Iowa Code section </w:t>
      </w:r>
      <w:hyperlink r:id="rId30">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“g,” “h,” “k”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document the relationship of the facility’s proposed services to other health and long-term care services in the community such as physician and hospital services, habilitation, rehabilitation, transportation or other services. The facility should be capable of providing or arranging for the provision of a continuum of long-term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should be capable of providing or arranging for the provision of a comprehensive program of coordinated patient services. The applicant shall provide evidence of contracts for services, appropriate staffing patterns and ratios, and licensure of personnel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2203.5(6)</w:t>
      </w:r>
      <w:r>
        <w:rPr>
          <w:rFonts w:ascii="Times New Roman" w:hAnsi="Times New Roman"/>
          <w:b w:val="false"/>
          <w:i w:val="false"/>
          <w:color w:val="000000"/>
          <w:sz w:val="22"/>
        </w:rPr>
        <w:t> </w:t>
      </w:r>
      <w:r>
        <w:rPr>
          <w:rFonts w:ascii="Times New Roman" w:hAnsi="Times New Roman"/>
          <w:b w:val="false"/>
          <w:i/>
          <w:color w:val="000000"/>
          <w:sz w:val="22"/>
        </w:rPr>
        <w:t xml:space="preserve">Accessibility and acceptability. </w:t>
      </w:r>
      <w:r>
        <w:rPr>
          <w:rFonts w:ascii="Times New Roman" w:hAnsi="Times New Roman"/>
          <w:b w:val="false"/>
          <w:i w:val="false"/>
          <w:color w:val="000000"/>
          <w:sz w:val="22"/>
        </w:rPr>
        <w:t xml:space="preserve">(Iowa Code section </w:t>
      </w:r>
      <w:hyperlink r:id="rId31">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 “d”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Population subgroups that have traditionally been underserved, such as adolescents, the elderly, women, racial minorities, mentally ill, intellectually disabled, and developmentally disabled should be considered when planning for or reviewing long-term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document to what extent Medicaid patients will be served by the proposed beds, using past Medicaid utilization as an indicator or, in the case of a new facility, projecting anticipated Medicaid utilization.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2203.5(7)</w:t>
      </w:r>
      <w:r>
        <w:rPr>
          <w:rFonts w:ascii="Times New Roman" w:hAnsi="Times New Roman"/>
          <w:b w:val="false"/>
          <w:i w:val="false"/>
          <w:color w:val="000000"/>
          <w:sz w:val="22"/>
        </w:rPr>
        <w:t> </w:t>
      </w:r>
      <w:r>
        <w:rPr>
          <w:rFonts w:ascii="Times New Roman" w:hAnsi="Times New Roman"/>
          <w:b w:val="false"/>
          <w:i/>
          <w:color w:val="000000"/>
          <w:sz w:val="22"/>
        </w:rPr>
        <w:t xml:space="preserve">Costs and financial feasibility. </w:t>
      </w:r>
      <w:r>
        <w:rPr>
          <w:rFonts w:ascii="Times New Roman" w:hAnsi="Times New Roman"/>
          <w:b w:val="false"/>
          <w:i w:val="false"/>
          <w:color w:val="000000"/>
          <w:sz w:val="22"/>
        </w:rPr>
        <w:t xml:space="preserve">(Iowa Code section </w:t>
      </w:r>
      <w:hyperlink r:id="rId32">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“e,” “f,” “i,” “p”</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identify capital and operating costs associated with the project, identify sources of funding to cover those costs, and demonstrate that the project is financially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Construction costs shall be in line with construction costs of other similar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budgets for the first three years of operation, including documentation of all assumptions used. The budget shall include anticipated sources of revenue, including the percentage of revenue from private pay, Medicaid, Medicare and other patient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Proposed charges per patient day should be justifiable when compared to current charges of other similarly licensed facilities in the applicant’s service area, or other similar facilities elsewhere in the state. If charges are significantly higher or lower, the applicant shall provide a description of proposed programs or services that explain the difference in charges.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3">
        <w:r>
          <w:rPr>
            <w:rStyle w:val="Hyperlink"/>
            <w:rFonts w:ascii="Times New Roman" w:hAnsi="Times New Roman"/>
            <w:b w:val="false"/>
            <w:i w:val="false"/>
            <w:color w:val="000000"/>
            <w:sz w:val="22"/>
          </w:rPr>
          <w:t>10A.722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481—2203.6</w:t>
      </w:r>
      <w:r>
        <w:rPr>
          <w:rFonts w:ascii="Times New Roman" w:hAnsi="Times New Roman"/>
          <w:b w:val="false"/>
          <w:i w:val="false"/>
          <w:color w:val="000000"/>
          <w:sz w:val="22"/>
        </w:rPr>
        <w:t xml:space="preserve"> to </w:t>
      </w:r>
      <w:r>
        <w:rPr>
          <w:rFonts w:ascii="Times New Roman" w:hAnsi="Times New Roman"/>
          <w:b/>
          <w:i w:val="false"/>
          <w:color w:val="000000"/>
          <w:sz w:val="22"/>
        </w:rPr>
        <w:t>2203.11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481—2203.12</w:t>
      </w:r>
      <w:r>
        <w:rPr>
          <w:rFonts w:ascii="Times New Roman" w:hAnsi="Times New Roman"/>
          <w:b/>
          <w:i w:val="false"/>
          <w:color w:val="000000"/>
          <w:sz w:val="22"/>
        </w:rPr>
        <w:t xml:space="preserve">(10A) </w:t>
      </w:r>
      <w:r>
        <w:rPr>
          <w:rFonts w:ascii="Times New Roman" w:hAnsi="Times New Roman"/>
          <w:b/>
          <w:i w:val="false"/>
          <w:color w:val="000000"/>
          <w:sz w:val="22"/>
        </w:rPr>
        <w:t xml:space="preserve">Magnetic resonance imaging services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2203.12(1)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standards are measures of some of those criteria in Iowa Code section </w:t>
      </w:r>
      <w:hyperlink r:id="rId34">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“q.”</w:t>
      </w:r>
      <w:r>
        <w:rPr>
          <w:rFonts w:ascii="Times New Roman" w:hAnsi="Times New Roman"/>
          <w:b w:val="false"/>
          <w:i w:val="false"/>
          <w:color w:val="000000"/>
          <w:sz w:val="22"/>
        </w:rPr>
        <w:t xml:space="preserve">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standards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Proposals to commence or expand the capacity of magnetic resonance imaging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Proposals to replace a magnetic resonance imaging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applications that relate to magnetic resonance imaging.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2203.12(2)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w:t>
      </w:r>
      <w:r>
        <w:rPr>
          <w:rFonts w:ascii="Times New Roman" w:hAnsi="Times New Roman"/>
          <w:b w:val="false"/>
          <w:i w:val="false"/>
          <w:color w:val="000000"/>
          <w:sz w:val="22"/>
        </w:rPr>
        <w:t>means the community or a metropolitan statistical area (as defined by the U.S. Office of Management and Budget and used by the U.S. Census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“CT (computed tomography) procedure” </w:t>
      </w:r>
      <w:r>
        <w:rPr>
          <w:rFonts w:ascii="Times New Roman" w:hAnsi="Times New Roman"/>
          <w:b w:val="false"/>
          <w:i w:val="false"/>
          <w:color w:val="000000"/>
          <w:sz w:val="22"/>
        </w:rPr>
        <w:t>means a CT study of a single site of anatomic interest during an individual patient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“Magnetic resonance imaging (MRI)” </w:t>
      </w:r>
      <w:r>
        <w:rPr>
          <w:rFonts w:ascii="Times New Roman" w:hAnsi="Times New Roman"/>
          <w:b w:val="false"/>
          <w:i w:val="false"/>
          <w:color w:val="000000"/>
          <w:sz w:val="22"/>
        </w:rPr>
        <w:t>means a diagnostic modality that employs a combination of magnetic and radio frequency fields and computers to produce images of body organs and tissues.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“MRI procedure” </w:t>
      </w:r>
      <w:r>
        <w:rPr>
          <w:rFonts w:ascii="Times New Roman" w:hAnsi="Times New Roman"/>
          <w:b w:val="false"/>
          <w:i w:val="false"/>
          <w:color w:val="000000"/>
          <w:sz w:val="22"/>
        </w:rPr>
        <w:t>means each discrete MRI study of one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“MRI unit” </w:t>
      </w:r>
      <w:r>
        <w:rPr>
          <w:rFonts w:ascii="Times New Roman" w:hAnsi="Times New Roman"/>
          <w:b w:val="false"/>
          <w:i w:val="false"/>
          <w:color w:val="000000"/>
          <w:sz w:val="22"/>
        </w:rPr>
        <w:t>means the essential equipment and facility necessary to operate one MRI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2203.12(3)</w:t>
      </w:r>
      <w:r>
        <w:rPr>
          <w:rFonts w:ascii="Times New Roman" w:hAnsi="Times New Roman"/>
          <w:b w:val="false"/>
          <w:i w:val="false"/>
          <w:color w:val="000000"/>
          <w:sz w:val="22"/>
        </w:rPr>
        <w:t> </w:t>
      </w:r>
      <w:r>
        <w:rPr>
          <w:rFonts w:ascii="Times New Roman" w:hAnsi="Times New Roman"/>
          <w:b w:val="false"/>
          <w:i/>
          <w:color w:val="000000"/>
          <w:sz w:val="22"/>
        </w:rPr>
        <w:t xml:space="preserve">Availability and need. </w:t>
      </w:r>
      <w:r>
        <w:rPr>
          <w:rFonts w:ascii="Times New Roman" w:hAnsi="Times New Roman"/>
          <w:b w:val="false"/>
          <w:i w:val="false"/>
          <w:color w:val="000000"/>
          <w:sz w:val="22"/>
        </w:rPr>
        <w:t xml:space="preserve">(Iowa Code section </w:t>
      </w:r>
      <w:hyperlink r:id="rId35">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 “d,” “e,” “g,” “h”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in areas with no other MRI units. Applicant must document a future utilization of reasonably projected MRI procedure volume for the fiscal year period after projected installation.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in areas with one or more MRI units currently in operation or approved by certificate of need for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 must meet the requirement of need described in paragraph </w:t>
      </w:r>
      <w:hyperlink r:id="rId36">
        <w:r>
          <w:rPr>
            <w:rStyle w:val="Hyperlink"/>
            <w:rFonts w:ascii="Times New Roman" w:hAnsi="Times New Roman"/>
            <w:b w:val="false"/>
            <w:i w:val="false"/>
            <w:color w:val="000000"/>
            <w:sz w:val="22"/>
          </w:rPr>
          <w:t/>
        </w:r>
      </w:hyperlink>
      <w:hyperlink r:id="rId37">
        <w:r>
          <w:rPr>
            <w:rStyle w:val="Hyperlink"/>
            <w:rFonts w:ascii="Times New Roman" w:hAnsi="Times New Roman"/>
            <w:b w:val="false"/>
            <w:i w:val="false"/>
            <w:color w:val="000000"/>
            <w:sz w:val="22"/>
          </w:rPr>
          <w:t>2203.12(3)</w:t>
        </w:r>
        <w:r>
          <w:rPr>
            <w:rFonts w:ascii="Times New Roman" w:hAnsi="Times New Roman"/>
            <w:b w:val="false"/>
            <w:i/>
            <w:color w:val="000000"/>
            <w:sz w:val="22"/>
          </w:rPr>
          <w:t>“a,”</w:t>
        </w:r>
      </w:hyperlink>
      <w:r>
        <w:rPr>
          <w:rFonts w:ascii="Times New Roman" w:hAnsi="Times New Roman"/>
          <w:b w:val="false"/>
          <w:i w:val="false"/>
          <w:color w:val="000000"/>
          <w:sz w:val="22"/>
        </w:rPr>
        <w:t xml:space="preser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other MRI unit(s) within the area must have been operating at a minimum of 2,000 MRI procedures annually (or 500 in three months), or proportionately more if the MRI unit runs more than one ten-hour shift.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annual utilization of the other MRI unit(s) within the area has been below 2,000 procedures, future utilization above that current level must be reasonably projected or reasons for permanently utilizing the equipment below the 2,000 procedure level must be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Applicants seeking to replace an MRI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must demonstrate that the existing MRI unit has been operating at the level of at least 3,000 procedures during the most recent annual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applicant’s annual utilization has been below 2,000 procedures, the applicant must reasonably project future utilization above that level or demonstrate reasons for permanently utilizing the equipment below that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Applicants seeking to add an additional MRI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must demonstrate that the existing MRI unit(s) has been operating at the level of at least 3,500 procedures during the most recent annual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must demonstrate that the demand significantly exceeds the 2,000 procedures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applicant’s annual utilization has been below 2,000 procedures, the applicant must reasonably project future utilization above that level or demonstrate reasons for permanently utilizing the equipment below that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2203.12(4)</w:t>
      </w:r>
      <w:r>
        <w:rPr>
          <w:rFonts w:ascii="Times New Roman" w:hAnsi="Times New Roman"/>
          <w:b w:val="false"/>
          <w:i w:val="false"/>
          <w:color w:val="000000"/>
          <w:sz w:val="22"/>
        </w:rPr>
        <w:t> </w:t>
      </w:r>
      <w:r>
        <w:rPr>
          <w:rFonts w:ascii="Times New Roman" w:hAnsi="Times New Roman"/>
          <w:b w:val="false"/>
          <w:i/>
          <w:color w:val="000000"/>
          <w:sz w:val="22"/>
        </w:rPr>
        <w:t xml:space="preserve">Quality and continuity. </w:t>
      </w:r>
      <w:r>
        <w:rPr>
          <w:rFonts w:ascii="Times New Roman" w:hAnsi="Times New Roman"/>
          <w:b w:val="false"/>
          <w:i w:val="false"/>
          <w:color w:val="000000"/>
          <w:sz w:val="22"/>
        </w:rPr>
        <w:t xml:space="preserve">(Iowa Code section </w:t>
      </w:r>
      <w:hyperlink r:id="rId38">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“g,” “h,” “i,” “k”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MRI unit should function as a component of a comprehensive inpatient or outpatient diagnostic service. The proposed MRI unit must have the following modalities on-site or through referral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Ultrasound.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Computed tomography.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Angiography.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Nuclear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Conventional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MRI unit must be located in a facility that has, either in-house or through referral arrangement, the resources necessary to treat most of the conditions diagnosed or confirmed by MRI. The following medical specialties must be available during MRI service hours on-site or by referral arrangements: neurology or neurosurgery, oncology and cardiology.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proposal to provide new or expanded MRI must include satisfactory assurances that the services will be offered in a physical environment that conforms to federal standards, manufacturer’s specifications, and licensing agencies’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must provide evidence that the proposed MRI equipment has been certified for clinical use by the U.S. Food and Drug Administration or will be operated under the approval and authority of an institutional review board whose membership is consistent with U.S. Department of Health and Human Services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Applicants for MRI should document that the necessary qualified staff are available to operate the proposed unit. The following minimum staff will be available to the MRI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board-eligible or board-certified radiologist or any other board-eligible or board-certified licensed physician whose exclusive responsibility for at least a two-year period prior to submission of a certificate of need request has been in the acquisition and interpretation of clinical images. This individual shall have a knowledge of MRI through training, experience, or documented postgraduate education. The individual shall also have training with a functional MRI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Qualified engineering personnel, available to the institution during MRI service hours, with training and experience in the operation and maintenance of the MRI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Diagnostic radiologic technologists or other certified technologists with expertise in computed tomography or other cross-sectional imaging methods, at a staffing level consistent with the hospital’s expected MRI service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appropriate physicians shall be available during MRI service hours in clinical specialties such as neurology or neurosurgery, oncology and cardiology.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shall demonstrate how emergencies within the MRI unit will be managed in conformity with accepted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2203.12(5)</w:t>
      </w:r>
      <w:r>
        <w:rPr>
          <w:rFonts w:ascii="Times New Roman" w:hAnsi="Times New Roman"/>
          <w:b w:val="false"/>
          <w:i w:val="false"/>
          <w:color w:val="000000"/>
          <w:sz w:val="22"/>
        </w:rPr>
        <w:t> </w:t>
      </w:r>
      <w:r>
        <w:rPr>
          <w:rFonts w:ascii="Times New Roman" w:hAnsi="Times New Roman"/>
          <w:b w:val="false"/>
          <w:i/>
          <w:color w:val="000000"/>
          <w:sz w:val="22"/>
        </w:rPr>
        <w:t xml:space="preserve">Accessibility and acceptability. </w:t>
      </w:r>
      <w:r>
        <w:rPr>
          <w:rFonts w:ascii="Times New Roman" w:hAnsi="Times New Roman"/>
          <w:b w:val="false"/>
          <w:i w:val="false"/>
          <w:color w:val="000000"/>
          <w:sz w:val="22"/>
        </w:rPr>
        <w:t xml:space="preserve">(Iowa Code section </w:t>
      </w:r>
      <w:hyperlink r:id="rId39">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 “d”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MRI facilities should have adequate scheduled hours to avoid an excessive backlog of cases and to meet the needs of the communities the scanners are meant to 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Selection of patients for clinical MRI studies must guarantee equal access to all persons regardless of insurance coverage or 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2203.12(6)</w:t>
      </w:r>
      <w:r>
        <w:rPr>
          <w:rFonts w:ascii="Times New Roman" w:hAnsi="Times New Roman"/>
          <w:b w:val="false"/>
          <w:i w:val="false"/>
          <w:color w:val="000000"/>
          <w:sz w:val="22"/>
        </w:rPr>
        <w:t> </w:t>
      </w:r>
      <w:r>
        <w:rPr>
          <w:rFonts w:ascii="Times New Roman" w:hAnsi="Times New Roman"/>
          <w:b w:val="false"/>
          <w:i/>
          <w:color w:val="000000"/>
          <w:sz w:val="22"/>
        </w:rPr>
        <w:t xml:space="preserve">Costs and financial feasibility. </w:t>
      </w:r>
      <w:r>
        <w:rPr>
          <w:rFonts w:ascii="Times New Roman" w:hAnsi="Times New Roman"/>
          <w:b w:val="false"/>
          <w:i w:val="false"/>
          <w:color w:val="000000"/>
          <w:sz w:val="22"/>
        </w:rPr>
        <w:t xml:space="preserve">(Iowa Code section </w:t>
      </w:r>
      <w:hyperlink r:id="rId40">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“e,” “f,” “i,” “p”</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identify capital and operating costs associated with the proposed MRI unit, identify sources of funding to cover those costs, and demonstrate that the project is financially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budgets for the first three years of operation, including documentation and justification of all assumptions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must document its projected average cost per procedure and charge per procedure for the first three years. Charges for MRI should be reasonably related to service cost, and comparable to MRI charges at other facilities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shall demonstrate that alternatives were considered and the proposed application is the most cost-effective and will accomplish the goals of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481—2203.13</w:t>
      </w:r>
      <w:r>
        <w:rPr>
          <w:rFonts w:ascii="Times New Roman" w:hAnsi="Times New Roman"/>
          <w:b/>
          <w:i w:val="false"/>
          <w:color w:val="000000"/>
          <w:sz w:val="22"/>
        </w:rPr>
        <w:t xml:space="preserve">(10A) </w:t>
      </w:r>
      <w:r>
        <w:rPr>
          <w:rFonts w:ascii="Times New Roman" w:hAnsi="Times New Roman"/>
          <w:b/>
          <w:i w:val="false"/>
          <w:color w:val="000000"/>
          <w:sz w:val="22"/>
        </w:rPr>
        <w:t xml:space="preserve">Positron emission tomography services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2203.13(1)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standards are measures of some of those criteria in Iowa Code section </w:t>
      </w:r>
      <w:hyperlink r:id="rId41">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“q.”</w:t>
      </w:r>
      <w:r>
        <w:rPr>
          <w:rFonts w:ascii="Times New Roman" w:hAnsi="Times New Roman"/>
          <w:b w:val="false"/>
          <w:i w:val="false"/>
          <w:color w:val="000000"/>
          <w:sz w:val="22"/>
        </w:rPr>
        <w:t xml:space="preserve">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standards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Proposals to commence or expand the capacity of positron emission tomography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Proposals to replace a positron emission tomography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applications that relate to positron emission tomography.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2203.13(2)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w:t>
      </w:r>
      <w:r>
        <w:rPr>
          <w:rFonts w:ascii="Times New Roman" w:hAnsi="Times New Roman"/>
          <w:b w:val="false"/>
          <w:i w:val="false"/>
          <w:color w:val="000000"/>
          <w:sz w:val="22"/>
        </w:rPr>
        <w:t>means the community or a metropolitan statistical area (as defined by the U.S. Office of Management and Budget and used by the U.S. Census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“CT (computed tomography)” </w:t>
      </w:r>
      <w:r>
        <w:rPr>
          <w:rFonts w:ascii="Times New Roman" w:hAnsi="Times New Roman"/>
          <w:b w:val="false"/>
          <w:i w:val="false"/>
          <w:color w:val="000000"/>
          <w:sz w:val="22"/>
        </w:rPr>
        <w:t>means an imaging method in which a cross-sectional image of the structures in a body plane is reconstructed by a computer program from the X-ray absorption of beams projected through the body in the image plane.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“Cyclotron” </w:t>
      </w:r>
      <w:r>
        <w:rPr>
          <w:rFonts w:ascii="Times New Roman" w:hAnsi="Times New Roman"/>
          <w:b w:val="false"/>
          <w:i w:val="false"/>
          <w:color w:val="000000"/>
          <w:sz w:val="22"/>
        </w:rPr>
        <w:t>means an apparatus for accelerating protons or neutrons to high energies by means of a constant magnet and an oscillating electric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“MRI (magnetic resonance imaging)” </w:t>
      </w:r>
      <w:r>
        <w:rPr>
          <w:rFonts w:ascii="Times New Roman" w:hAnsi="Times New Roman"/>
          <w:b w:val="false"/>
          <w:i w:val="false"/>
          <w:color w:val="000000"/>
          <w:sz w:val="22"/>
        </w:rPr>
        <w:t>means a diagnostic modality that employs a combination of magnetic and radio frequency fields and computers to produce images of body organs and tissues.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“Radiopharmaceutical” </w:t>
      </w:r>
      <w:r>
        <w:rPr>
          <w:rFonts w:ascii="Times New Roman" w:hAnsi="Times New Roman"/>
          <w:b w:val="false"/>
          <w:i w:val="false"/>
          <w:color w:val="000000"/>
          <w:sz w:val="22"/>
        </w:rPr>
        <w:t>means a radioactive pharmaceutical used for diagnostic or therapeutic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 procedure” </w:t>
      </w:r>
      <w:r>
        <w:rPr>
          <w:rFonts w:ascii="Times New Roman" w:hAnsi="Times New Roman"/>
          <w:b w:val="false"/>
          <w:i w:val="false"/>
          <w:color w:val="000000"/>
          <w:sz w:val="22"/>
        </w:rPr>
        <w:t>means an image-scanning sequence derived from a single administration of PET, equated with a single injection of the tracer.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“Positron emission tomography (PET)” </w:t>
      </w:r>
      <w:r>
        <w:rPr>
          <w:rFonts w:ascii="Times New Roman" w:hAnsi="Times New Roman"/>
          <w:b w:val="false"/>
          <w:i w:val="false"/>
          <w:color w:val="000000"/>
          <w:sz w:val="22"/>
        </w:rPr>
        <w:t>means an imaging method in which positron-emitting radionuclides, which are produced either by a cyclotron or generator, and a nuclear camera are used to create pictures of organ function rather than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“SPECT (single photon emission computed tomography)” </w:t>
      </w:r>
      <w:r>
        <w:rPr>
          <w:rFonts w:ascii="Times New Roman" w:hAnsi="Times New Roman"/>
          <w:b w:val="false"/>
          <w:i w:val="false"/>
          <w:color w:val="000000"/>
          <w:sz w:val="22"/>
        </w:rPr>
        <w:t>means a camera-based imaging system using the radionuclides in the routine practice of nuclear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2203.13(3)</w:t>
      </w:r>
      <w:r>
        <w:rPr>
          <w:rFonts w:ascii="Times New Roman" w:hAnsi="Times New Roman"/>
          <w:b w:val="false"/>
          <w:i w:val="false"/>
          <w:color w:val="000000"/>
          <w:sz w:val="22"/>
        </w:rPr>
        <w:t> </w:t>
      </w:r>
      <w:r>
        <w:rPr>
          <w:rFonts w:ascii="Times New Roman" w:hAnsi="Times New Roman"/>
          <w:b w:val="false"/>
          <w:i/>
          <w:color w:val="000000"/>
          <w:sz w:val="22"/>
        </w:rPr>
        <w:t xml:space="preserve">Availability and need. </w:t>
      </w:r>
      <w:r>
        <w:rPr>
          <w:rFonts w:ascii="Times New Roman" w:hAnsi="Times New Roman"/>
          <w:b w:val="false"/>
          <w:i w:val="false"/>
          <w:color w:val="000000"/>
          <w:sz w:val="22"/>
        </w:rPr>
        <w:t xml:space="preserve">(Iowa Code section </w:t>
      </w:r>
      <w:hyperlink r:id="rId42">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 “d,” “e,” “g,” “h”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in areas with no other PET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should demonstrate a reasonable potential utilization of a PET unit based on diversified inpatient and outpatient case mix thresholds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Intracranial cases.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Primary brain tumors 50/year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Metastasis 100/year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Cerebral vascular disease 200/year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Organic brain disease and dementia/psychiatric diagnoses (including epilepsy-seizure disorders) 500/year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Spinal 100/year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Cardiovascular cases.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Ischemic heart disease (including acute and chronic infarction) 1200/year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Neoplasms (head, neck, thorax (excluding heart), abdomen, pelvic, prostate and musculoskeletal 1300/year.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Applicants should have other diagnostic capabilities, on-site or through referral arrangements, with appropriate volumes including:</w:t>
      </w:r>
    </w:p>
    <w:tbl>
      <w:tblPr>
        <w:tblW w:w="5000" w:type="pct"/>
        <w:tblCellSpacing w:w="0" w:type="auto"/>
        <w:tblBorders>
          <w:top w:val="none"/>
          <w:left w:val="none"/>
          <w:bottom w:val="none"/>
          <w:right w:val="none"/>
          <w:insideH w:val="none"/>
          <w:insideV w:val="none"/>
        </w:tblBorders>
        <w:tblLayout w:type="fixed"/>
      </w:tblPr>
      <w:tblGrid>
        <w:gridCol w:w="8584"/>
        <w:gridCol w:w="2606"/>
      </w:tblGrid>
      <w:tr>
        <w:trPr>
          <w:trHeight w:val="390" w:hRule="atLeast"/>
        </w:trPr>
        <w:tc>
          <w:tcPr>
            <w:tcW w:w="8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Proposed</w:t>
            </w:r>
          </w:p>
          <w:p>
            <w:pPr>
              <w:spacing w:before="0" w:after="0"/>
              <w:ind w:left="160"/>
              <w:jc w:val="right"/>
            </w:pPr>
            <w:r>
              <w:rPr>
                <w:rFonts w:ascii="Times New Roman" w:hAnsi="Times New Roman"/>
                <w:b w:val="false"/>
                <w:i w:val="false"/>
                <w:color w:val="000000"/>
                <w:sz w:val="16"/>
                <w:u w:val="single"/>
              </w:rPr>
              <w:t>Threshold</w:t>
            </w:r>
          </w:p>
        </w:tc>
      </w:tr>
      <w:tr>
        <w:trPr>
          <w:trHeight w:val="210" w:hRule="atLeast"/>
        </w:trPr>
        <w:tc>
          <w:tcPr>
            <w:tcW w:w="8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Nuclear medicine imaging services</w:t>
            </w:r>
          </w:p>
        </w:tc>
        <w:tc>
          <w:tcPr>
            <w:tcW w:w="260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5,600</w:t>
            </w:r>
          </w:p>
        </w:tc>
      </w:tr>
      <w:tr>
        <w:trPr>
          <w:trHeight w:val="390" w:hRule="atLeast"/>
        </w:trPr>
        <w:tc>
          <w:tcPr>
            <w:tcW w:w="8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Single photon emission computed tomography (including brain, bone,</w:t>
            </w:r>
          </w:p>
          <w:p>
            <w:pPr>
              <w:spacing w:before="0" w:after="0"/>
              <w:ind w:left="160"/>
              <w:jc w:val="left"/>
            </w:pPr>
            <w:r>
              <w:rPr>
                <w:rFonts w:ascii="Times New Roman" w:hAnsi="Times New Roman"/>
                <w:b w:val="false"/>
                <w:i w:val="false"/>
                <w:color w:val="000000"/>
                <w:sz w:val="16"/>
              </w:rPr>
              <w:t>liver, Gallium and Thallium stress)</w:t>
            </w:r>
          </w:p>
        </w:tc>
        <w:tc>
          <w:tcPr>
            <w:tcW w:w="26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right"/>
            </w:pPr>
            <w:r>
              <w:rPr>
                <w:rFonts w:ascii="Times New Roman" w:hAnsi="Times New Roman"/>
                <w:b w:val="false"/>
                <w:i w:val="false"/>
                <w:color w:val="000000"/>
                <w:sz w:val="16"/>
              </w:rPr>
              <w:t>1,600</w:t>
            </w:r>
          </w:p>
        </w:tc>
      </w:tr>
      <w:tr>
        <w:trPr>
          <w:trHeight w:val="210" w:hRule="atLeast"/>
        </w:trPr>
        <w:tc>
          <w:tcPr>
            <w:tcW w:w="8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CT</w:t>
            </w:r>
          </w:p>
        </w:tc>
        <w:tc>
          <w:tcPr>
            <w:tcW w:w="260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8,000</w:t>
            </w:r>
          </w:p>
        </w:tc>
      </w:tr>
      <w:tr>
        <w:trPr>
          <w:trHeight w:val="210" w:hRule="atLeast"/>
        </w:trPr>
        <w:tc>
          <w:tcPr>
            <w:tcW w:w="8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MRI</w:t>
            </w:r>
          </w:p>
        </w:tc>
        <w:tc>
          <w:tcPr>
            <w:tcW w:w="260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Applicants should demonstrate secondary and tertiary service capability, on-site or through referral arrangements, including cardiac surgery, cardiology, internal medicine, general surgery, hematology/oncology, neurology, pathology, thoracic surgery and 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in areas with one or more PET units currently in operation or approved by the certificate of need program for operation.</w:t>
      </w:r>
    </w:p>
    <w:p>
      <w:pPr>
        <w:spacing w:before="0" w:after="0"/>
        <w:ind w:left="120"/>
        <w:jc w:val="both"/>
      </w:pPr>
      <w:r>
        <w:rPr>
          <w:rFonts w:ascii="Times New Roman" w:hAnsi="Times New Roman"/>
          <w:b w:val="false"/>
          <w:i w:val="false"/>
          <w:color w:val="000000"/>
          <w:sz w:val="22"/>
        </w:rPr>
        <w:t xml:space="preserve">Existing PET units within the area (whether basic or enhanced) should have been operating at a minimum of 1000 PET procedures during the most recent annual period as reported to the certificate of need program according to paragraph </w:t>
      </w:r>
      <w:hyperlink r:id="rId43">
        <w:r>
          <w:rPr>
            <w:rStyle w:val="Hyperlink"/>
            <w:rFonts w:ascii="Times New Roman" w:hAnsi="Times New Roman"/>
            <w:b w:val="false"/>
            <w:i w:val="false"/>
            <w:color w:val="000000"/>
            <w:sz w:val="22"/>
          </w:rPr>
          <w:t/>
        </w:r>
      </w:hyperlink>
      <w:hyperlink r:id="rId44">
        <w:r>
          <w:rPr>
            <w:rStyle w:val="Hyperlink"/>
            <w:rFonts w:ascii="Times New Roman" w:hAnsi="Times New Roman"/>
            <w:b w:val="false"/>
            <w:i w:val="false"/>
            <w:color w:val="000000"/>
            <w:sz w:val="22"/>
          </w:rPr>
          <w:t>2203.13(6)</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2203.13(4)</w:t>
      </w:r>
      <w:r>
        <w:rPr>
          <w:rFonts w:ascii="Times New Roman" w:hAnsi="Times New Roman"/>
          <w:b w:val="false"/>
          <w:i w:val="false"/>
          <w:color w:val="000000"/>
          <w:sz w:val="22"/>
        </w:rPr>
        <w:t> </w:t>
      </w:r>
      <w:r>
        <w:rPr>
          <w:rFonts w:ascii="Times New Roman" w:hAnsi="Times New Roman"/>
          <w:b w:val="false"/>
          <w:i/>
          <w:color w:val="000000"/>
          <w:sz w:val="22"/>
        </w:rPr>
        <w:t xml:space="preserve">Quality and continuity. </w:t>
      </w:r>
      <w:r>
        <w:rPr>
          <w:rFonts w:ascii="Times New Roman" w:hAnsi="Times New Roman"/>
          <w:b w:val="false"/>
          <w:i w:val="false"/>
          <w:color w:val="000000"/>
          <w:sz w:val="22"/>
        </w:rPr>
        <w:t xml:space="preserve">(Iowa Code section </w:t>
      </w:r>
      <w:hyperlink r:id="rId45">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“g,” “h,” “i,” “k”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PET unit should function as a component of a comprehensive inpatient or outpatient diagnostic service. The proposed PET unit should have the following modalities (and capabilities) on-site or through referral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Computed tomography.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Magnetic resonance imaging.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Nuclear medicine — (cardiac, SPECT).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Conventional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PET unit should be located in a facility that has, either in-house or through referral arrangement, the resources necessary to treat most of the conditions diagnosed or confirmed by PET. The following medical specialties should be available during PET service hours on-site or by referral arrangements: cardiology, neurology, neurosurgery, oncology, and 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proposal to provide new or expanded PET must include satisfactory assurances that services will be offered in a physical environment that conforms to federal standards, manufacturer’s specifications, and licensing agencies’ requirements. The following areas are to be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Quality control and assurance of radiopharmaceutical production of generator or cyclotron-produced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Quality control and assurance of PET tomograph and associated instrumentation;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Radiation protection and shielding;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Radioactive emissions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evidence that the proposed PET equipment has been certified for clinical use by the U.S. Food and Drug Administration or will be operated under the approval and authority of an institutional review board whose membership is consistent with U.S. Department of Health and Human Services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Applicants for PET will document that the necessary qualified staff are available to operate the proposed unit. The applicants will document the PET training and experience of the staff. The following minimum staff will be available to the PET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or more nuclear medicine imaging physician(s) available to the PET unit who have been licensed by the state for the handling of medical radionuclides and whose primary responsibility for at least a one-year period prior to submission of the certificate of need application has been in acquisition and interpretation of tomographic images. This individual shall have knowledge of PET through training, experience, or documented postgraduate education. The individual shall also have training with a functional PET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Qualified PET radiochemist or radiopharmacist personnel, available to the facility during PET service hours, with at least one year of training. The individual(s) will demonstrate experience in the testing of chemical, radiochemical, and radionuclidic purity of PET radiopharmaceutical syntheses.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Qualified engineering and physics personnel, available to the facility during PET service hours, with training and experience in the operation and maintenance of the PET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Qualified radiation safety personnel, available to the facility at all times, with training and experience in the handling of short-lived positron-emitting nuclides.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Certified nuclear medicine technologists with expertise in computed tomographic nuclear medicine imaging procedures, at a staffing level consistent with the proposed center’s expected PET service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appropriate personnel should be available during PET service hours, which may include certified nuclear medicine technologists, computer programmers, nurses, and radiochemistry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will demonstrate how emergencies within the PET unit will be managed in conformity with accepted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2203.13(5)</w:t>
      </w:r>
      <w:r>
        <w:rPr>
          <w:rFonts w:ascii="Times New Roman" w:hAnsi="Times New Roman"/>
          <w:b w:val="false"/>
          <w:i w:val="false"/>
          <w:color w:val="000000"/>
          <w:sz w:val="22"/>
        </w:rPr>
        <w:t> </w:t>
      </w:r>
      <w:r>
        <w:rPr>
          <w:rFonts w:ascii="Times New Roman" w:hAnsi="Times New Roman"/>
          <w:b w:val="false"/>
          <w:i/>
          <w:color w:val="000000"/>
          <w:sz w:val="22"/>
        </w:rPr>
        <w:t xml:space="preserve">Accessibility and acceptability. </w:t>
      </w:r>
      <w:r>
        <w:rPr>
          <w:rFonts w:ascii="Times New Roman" w:hAnsi="Times New Roman"/>
          <w:b w:val="false"/>
          <w:i w:val="false"/>
          <w:color w:val="000000"/>
          <w:sz w:val="22"/>
        </w:rPr>
        <w:t xml:space="preserve">(Iowa Code section </w:t>
      </w:r>
      <w:hyperlink r:id="rId46">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 “d”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PET facilities should have adequate scheduled hours to avoid an excessive backlog of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Selection of patients for clinical PET studies will guarantee equal access to all persons regardless of insurance coverage or 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addition to accepting patients from participating institutions, facilities performing clinical PET procedures should accept appropriate referrals from other local providers. These patients will be accommodated to the extent possible by extending the hours of service and by prioritizing patients according to standards of need and appropriateness rather than source of referral.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2203.13(6)</w:t>
      </w:r>
      <w:r>
        <w:rPr>
          <w:rFonts w:ascii="Times New Roman" w:hAnsi="Times New Roman"/>
          <w:b w:val="false"/>
          <w:i w:val="false"/>
          <w:color w:val="000000"/>
          <w:sz w:val="22"/>
        </w:rPr>
        <w:t> </w:t>
      </w:r>
      <w:r>
        <w:rPr>
          <w:rFonts w:ascii="Times New Roman" w:hAnsi="Times New Roman"/>
          <w:b w:val="false"/>
          <w:i/>
          <w:color w:val="000000"/>
          <w:sz w:val="22"/>
        </w:rPr>
        <w:t xml:space="preserve">Costs and financial feasibility. </w:t>
      </w:r>
      <w:r>
        <w:rPr>
          <w:rFonts w:ascii="Times New Roman" w:hAnsi="Times New Roman"/>
          <w:b w:val="false"/>
          <w:i w:val="false"/>
          <w:color w:val="000000"/>
          <w:sz w:val="22"/>
        </w:rPr>
        <w:t xml:space="preserve">(Iowa Code section </w:t>
      </w:r>
      <w:hyperlink r:id="rId47">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“e,” “f,” “i,” “p”</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will identify capital and operating costs associated with the proposed PET unit, identify sources of funding to cover those costs, and demonstrate that the project is financially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budgets for the first three years of operation, including documentation and justification of all assumptions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will document its projected average cost per procedure and charge per procedure for the first three years. Charges for PET should be reasonably related to service cost and comparable to PET charges at other facilities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should verify whether the service is eligible for reimbursement by public and private third-party payers.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should demonstrate that alternatives were considered and the proposed application is the most cost-effective and should accomplish the goals of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8">
        <w:r>
          <w:rPr>
            <w:rStyle w:val="Hyperlink"/>
            <w:rFonts w:ascii="Times New Roman" w:hAnsi="Times New Roman"/>
            <w:b w:val="false"/>
            <w:i w:val="false"/>
            <w:color w:val="000000"/>
            <w:sz w:val="22"/>
          </w:rPr>
          <w:t>10A.711 through 10A.729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7/26/78—published 8/23/78, effective 7/26/78]</w:t>
      </w:r>
    </w:p>
    <w:p>
      <w:pPr>
        <w:spacing w:before="0" w:after="0"/>
        <w:ind w:left="120"/>
        <w:jc w:val="center"/>
      </w:pPr>
      <w:r>
        <w:rPr>
          <w:rFonts w:ascii="Times New Roman" w:hAnsi="Times New Roman"/>
          <w:b w:val="false"/>
          <w:i w:val="false"/>
          <w:color w:val="000000"/>
          <w:sz w:val="21"/>
        </w:rPr>
        <w:t>[Filed 2/1/80, Notice 8/8/79—published 2/20/80, effective 3/26/80]</w:t>
      </w:r>
    </w:p>
    <w:p>
      <w:pPr>
        <w:spacing w:before="0" w:after="0"/>
        <w:ind w:left="120"/>
        <w:jc w:val="center"/>
      </w:pPr>
      <w:r>
        <w:rPr>
          <w:rFonts w:ascii="Times New Roman" w:hAnsi="Times New Roman"/>
          <w:b w:val="false"/>
          <w:i w:val="false"/>
          <w:color w:val="000000"/>
          <w:sz w:val="21"/>
        </w:rPr>
        <w:t>[Filed 6/6/80, Notice 2/6/80—published 6/25/80, effective 7/30/80]</w:t>
      </w:r>
    </w:p>
    <w:p>
      <w:pPr>
        <w:spacing w:before="0" w:after="0"/>
        <w:ind w:left="120"/>
        <w:jc w:val="center"/>
      </w:pPr>
      <w:r>
        <w:rPr>
          <w:rFonts w:ascii="Times New Roman" w:hAnsi="Times New Roman"/>
          <w:b w:val="false"/>
          <w:i w:val="false"/>
          <w:color w:val="000000"/>
          <w:sz w:val="21"/>
        </w:rPr>
        <w:t>[Filed emergency 9/10/80—published 10/1/80, effective 9/10/80]</w:t>
      </w:r>
    </w:p>
    <w:p>
      <w:pPr>
        <w:spacing w:before="0" w:after="0"/>
        <w:ind w:left="120"/>
        <w:jc w:val="center"/>
      </w:pPr>
      <w:r>
        <w:rPr>
          <w:rFonts w:ascii="Times New Roman" w:hAnsi="Times New Roman"/>
          <w:b w:val="false"/>
          <w:i w:val="false"/>
          <w:color w:val="000000"/>
          <w:sz w:val="21"/>
        </w:rPr>
        <w:t>[Filed emergency 11/7/80—published 11/26/80, effective 11/7/80]</w:t>
      </w:r>
    </w:p>
    <w:p>
      <w:pPr>
        <w:spacing w:before="0" w:after="0"/>
        <w:ind w:left="120"/>
        <w:jc w:val="center"/>
      </w:pPr>
      <w:r>
        <w:rPr>
          <w:rFonts w:ascii="Times New Roman" w:hAnsi="Times New Roman"/>
          <w:b w:val="false"/>
          <w:i w:val="false"/>
          <w:color w:val="000000"/>
          <w:sz w:val="21"/>
        </w:rPr>
        <w:t>[Filed 12/5/80, Notice 10/15/80—published 12/24/80, effective 1/28/81]</w:t>
      </w:r>
    </w:p>
    <w:p>
      <w:pPr>
        <w:spacing w:before="0" w:after="0"/>
        <w:ind w:left="120"/>
        <w:jc w:val="center"/>
      </w:pPr>
      <w:r>
        <w:rPr>
          <w:rFonts w:ascii="Times New Roman" w:hAnsi="Times New Roman"/>
          <w:b w:val="false"/>
          <w:i w:val="false"/>
          <w:color w:val="000000"/>
          <w:sz w:val="21"/>
        </w:rPr>
        <w:t>[Filed emergency 4/9/81—published 4/29/81, effective 4/10/81]</w:t>
      </w:r>
    </w:p>
    <w:p>
      <w:pPr>
        <w:spacing w:before="0" w:after="0"/>
        <w:ind w:left="120"/>
        <w:jc w:val="center"/>
      </w:pPr>
      <w:r>
        <w:rPr>
          <w:rFonts w:ascii="Times New Roman" w:hAnsi="Times New Roman"/>
          <w:b w:val="false"/>
          <w:i w:val="false"/>
          <w:color w:val="000000"/>
          <w:sz w:val="21"/>
        </w:rPr>
        <w:t>[Filed 6/2/81, Notice 4/15/81—published 6/24/81, effective 8/1/81]</w:t>
      </w:r>
    </w:p>
    <w:p>
      <w:pPr>
        <w:spacing w:before="0" w:after="0"/>
        <w:ind w:left="120"/>
        <w:jc w:val="center"/>
      </w:pPr>
      <w:r>
        <w:rPr>
          <w:rFonts w:ascii="Times New Roman" w:hAnsi="Times New Roman"/>
          <w:b w:val="false"/>
          <w:i w:val="false"/>
          <w:color w:val="000000"/>
          <w:sz w:val="21"/>
        </w:rPr>
        <w:t>[Filed 3/22/84, Notice 12/7/83—published 4/11/84, effective 5/16/84]</w:t>
      </w:r>
    </w:p>
    <w:p>
      <w:pPr>
        <w:spacing w:before="0" w:after="0"/>
        <w:ind w:left="120"/>
        <w:jc w:val="center"/>
      </w:pPr>
      <w:r>
        <w:rPr>
          <w:rFonts w:ascii="Times New Roman" w:hAnsi="Times New Roman"/>
          <w:b w:val="false"/>
          <w:i w:val="false"/>
          <w:color w:val="000000"/>
          <w:sz w:val="21"/>
        </w:rPr>
        <w:t>[Filed 11/14/85, Notice 9/25/85—published 12/4/85, effective 1/8/86]</w:t>
      </w:r>
    </w:p>
    <w:p>
      <w:pPr>
        <w:spacing w:before="0" w:after="0"/>
        <w:ind w:left="120"/>
        <w:jc w:val="center"/>
      </w:pPr>
      <w:r>
        <w:rPr>
          <w:rFonts w:ascii="Times New Roman" w:hAnsi="Times New Roman"/>
          <w:b w:val="false"/>
          <w:i w:val="false"/>
          <w:color w:val="000000"/>
          <w:sz w:val="21"/>
        </w:rPr>
        <w:t>[Filed 3/20/86, Notice 1/29/86—published 4/9/86, effective 5/16/86]</w:t>
      </w:r>
    </w:p>
    <w:p>
      <w:pPr>
        <w:spacing w:before="0" w:after="0"/>
        <w:ind w:left="120"/>
        <w:jc w:val="center"/>
      </w:pPr>
      <w:r>
        <w:rPr>
          <w:rFonts w:ascii="Times New Roman" w:hAnsi="Times New Roman"/>
          <w:b w:val="false"/>
          <w:i w:val="false"/>
          <w:color w:val="000000"/>
          <w:sz w:val="21"/>
        </w:rPr>
        <w:t>[Filed 5/15/87, Notice 3/11/87—published 6/3/87, effective 7/8/87]</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5/11/90, Notice 3/7/90—published 5/30/90, effective 7/4/90]</w:t>
      </w:r>
    </w:p>
    <w:p>
      <w:pPr>
        <w:spacing w:before="0" w:after="0"/>
        <w:ind w:left="120"/>
        <w:jc w:val="center"/>
      </w:pPr>
      <w:r>
        <w:rPr>
          <w:rFonts w:ascii="Times New Roman" w:hAnsi="Times New Roman"/>
          <w:b w:val="false"/>
          <w:i w:val="false"/>
          <w:color w:val="000000"/>
          <w:sz w:val="21"/>
        </w:rPr>
        <w:t>[Filed ARC 2297C</w:t>
      </w:r>
      <w:r>
        <w:rPr>
          <w:rFonts w:ascii="Times New Roman" w:hAnsi="Times New Roman"/>
          <w:b w:val="false"/>
          <w:i w:val="false"/>
          <w:color w:val="000000"/>
          <w:sz w:val="21"/>
        </w:rPr>
        <w:t xml:space="preserve"> (Notice ARC 2177C, IAB 9/30/15)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5931C</w:t>
      </w:r>
      <w:r>
        <w:rPr>
          <w:rFonts w:ascii="Times New Roman" w:hAnsi="Times New Roman"/>
          <w:b w:val="false"/>
          <w:i w:val="false"/>
          <w:color w:val="000000"/>
          <w:sz w:val="21"/>
        </w:rPr>
        <w:t xml:space="preserve"> (Notice ARC 5633C, IAB 5/19/21)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7933C</w:t>
      </w:r>
      <w:r>
        <w:rPr>
          <w:rFonts w:ascii="Times New Roman" w:hAnsi="Times New Roman"/>
          <w:b w:val="false"/>
          <w:i w:val="false"/>
          <w:color w:val="000000"/>
          <w:sz w:val="21"/>
        </w:rPr>
        <w:t xml:space="preserve"> (Notice ARC 7380C, IAB 1/10/24)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714.pdf" Type="http://schemas.openxmlformats.org/officeDocument/2006/relationships/hyperlink" Id="rId5"/>
    <Relationship TargetMode="External" Target="https://www.legis.iowa.gov/docs/ico/chapter/10A.714.pdf" Type="http://schemas.openxmlformats.org/officeDocument/2006/relationships/hyperlink" Id="rId6"/>
    <Relationship TargetMode="External" Target="https://www.legis.iowa.gov/docs/ico/chapter/10A.714.pdf" Type="http://schemas.openxmlformats.org/officeDocument/2006/relationships/hyperlink" Id="rId7"/>
    <Relationship TargetMode="External" Target="https://www.legis.iowa.gov/docs/ico/chapter/10A.714.pdf" Type="http://schemas.openxmlformats.org/officeDocument/2006/relationships/hyperlink" Id="rId8"/>
    <Relationship TargetMode="External" Target="https://www.legis.iowa.gov/docs/ico/chapter/10A.714.pdf" Type="http://schemas.openxmlformats.org/officeDocument/2006/relationships/hyperlink" Id="rId9"/>
    <Relationship TargetMode="External" Target="https://www.legis.iowa.gov/docs/ico/chapter/10A.714.pdf" Type="http://schemas.openxmlformats.org/officeDocument/2006/relationships/hyperlink" Id="rId10"/>
    <Relationship TargetMode="External" Target="https://www.legis.iowa.gov/docs/ico/chapter/10A.714.pdf" Type="http://schemas.openxmlformats.org/officeDocument/2006/relationships/hyperlink" Id="rId11"/>
    <Relationship TargetMode="External" Target="https://www.legis.iowa.gov/docs/ico/chapter/10A.714.pdf" Type="http://schemas.openxmlformats.org/officeDocument/2006/relationships/hyperlink" Id="rId12"/>
    <Relationship TargetMode="External" Target="https://www.legis.iowa.gov/docs/ico/chapter/10A.714.pdf" Type="http://schemas.openxmlformats.org/officeDocument/2006/relationships/hyperlink" Id="rId13"/>
    <Relationship TargetMode="External" Target="https://www.legis.iowa.gov/docs/iac/rule/641.41.3.pdf" Type="http://schemas.openxmlformats.org/officeDocument/2006/relationships/hyperlink" Id="rId14"/>
    <Relationship TargetMode="External" Target="https://www.legis.iowa.gov/docs/iac/rule/641.41.3.pdf" Type="http://schemas.openxmlformats.org/officeDocument/2006/relationships/hyperlink" Id="rId15"/>
    <Relationship TargetMode="External" Target="https://www.legis.iowa.gov/docs/iac/rule/641.42.7.pdf" Type="http://schemas.openxmlformats.org/officeDocument/2006/relationships/hyperlink" Id="rId16"/>
    <Relationship TargetMode="External" Target="https://www.legis.iowa.gov/docs/ico/chapter/10A.714.pdf" Type="http://schemas.openxmlformats.org/officeDocument/2006/relationships/hyperlink" Id="rId17"/>
    <Relationship TargetMode="External" Target="https://www.legis.iowa.gov/docs/ico/chapter/10A.714.pdf" Type="http://schemas.openxmlformats.org/officeDocument/2006/relationships/hyperlink" Id="rId18"/>
    <Relationship TargetMode="External" Target="https://www.legis.iowa.gov/docs/iac/rule/641.2203.4.pdf" Type="http://schemas.openxmlformats.org/officeDocument/2006/relationships/hyperlink" Id="rId19"/>
    <Relationship TargetMode="External" Target="https://www.legis.iowa.gov/docs/iac/rule/641.2203.4.pdf" Type="http://schemas.openxmlformats.org/officeDocument/2006/relationships/hyperlink" Id="rId20"/>
    <Relationship TargetMode="External" Target="https://www.legis.iowa.gov/docs/ico/chapter/10A.714.pdf" Type="http://schemas.openxmlformats.org/officeDocument/2006/relationships/hyperlink" Id="rId21"/>
    <Relationship TargetMode="External" Target="https://www.legis.iowa.gov/docs/ico/chapter/10A.714.pdf" Type="http://schemas.openxmlformats.org/officeDocument/2006/relationships/hyperlink" Id="rId22"/>
    <Relationship TargetMode="External" Target="https://www.legis.iowa.gov/docs/ico/chapter/10A.714.pdf" Type="http://schemas.openxmlformats.org/officeDocument/2006/relationships/hyperlink" Id="rId23"/>
    <Relationship TargetMode="External" Target="https://www.legis.iowa.gov/docs/ico/chapter/10A.714.pdf" Type="http://schemas.openxmlformats.org/officeDocument/2006/relationships/hyperlink" Id="rId24"/>
    <Relationship TargetMode="External" Target="https://www.legis.iowa.gov/docs/ico/chapter/10A.714.pdf" Type="http://schemas.openxmlformats.org/officeDocument/2006/relationships/hyperlink" Id="rId25"/>
    <Relationship TargetMode="External" Target="https://www.legis.iowa.gov/docs/ico/chapter/10A.714.pdf" Type="http://schemas.openxmlformats.org/officeDocument/2006/relationships/hyperlink" Id="rId26"/>
    <Relationship TargetMode="External" Target="https://www.legis.iowa.gov/docs/ico/chapter/10A.714.pdf" Type="http://schemas.openxmlformats.org/officeDocument/2006/relationships/hyperlink" Id="rId27"/>
    <Relationship TargetMode="External" Target="https://www.legis.iowa.gov/docs/ico/chapter/10A.714.pdf" Type="http://schemas.openxmlformats.org/officeDocument/2006/relationships/hyperlink" Id="rId28"/>
    <Relationship TargetMode="External" Target="https://www.legis.iowa.gov/docs/ico/chapter/10A.714.pdf" Type="http://schemas.openxmlformats.org/officeDocument/2006/relationships/hyperlink" Id="rId29"/>
    <Relationship TargetMode="External" Target="https://www.legis.iowa.gov/docs/ico/chapter/10A.714.pdf" Type="http://schemas.openxmlformats.org/officeDocument/2006/relationships/hyperlink" Id="rId30"/>
    <Relationship TargetMode="External" Target="https://www.legis.iowa.gov/docs/ico/chapter/10A.714.pdf" Type="http://schemas.openxmlformats.org/officeDocument/2006/relationships/hyperlink" Id="rId31"/>
    <Relationship TargetMode="External" Target="https://www.legis.iowa.gov/docs/ico/chapter/10A.714.pdf" Type="http://schemas.openxmlformats.org/officeDocument/2006/relationships/hyperlink" Id="rId32"/>
    <Relationship TargetMode="External" Target="https://www.legis.iowa.gov/docs/ico/chapter/10A.722.pdf" Type="http://schemas.openxmlformats.org/officeDocument/2006/relationships/hyperlink" Id="rId33"/>
    <Relationship TargetMode="External" Target="https://www.legis.iowa.gov/docs/ico/chapter/10A.714.pdf" Type="http://schemas.openxmlformats.org/officeDocument/2006/relationships/hyperlink" Id="rId34"/>
    <Relationship TargetMode="External" Target="https://www.legis.iowa.gov/docs/ico/chapter/10A.714.pdf" Type="http://schemas.openxmlformats.org/officeDocument/2006/relationships/hyperlink" Id="rId35"/>
    <Relationship TargetMode="External" Target="https://www.legis.iowa.gov/docs/iac/rule/641.203.12.pdf" Type="http://schemas.openxmlformats.org/officeDocument/2006/relationships/hyperlink" Id="rId36"/>
    <Relationship TargetMode="External" Target="https://www.legis.iowa.gov/docs/iac/rule/641.2203.12.pdf" Type="http://schemas.openxmlformats.org/officeDocument/2006/relationships/hyperlink" Id="rId37"/>
    <Relationship TargetMode="External" Target="https://www.legis.iowa.gov/docs/ico/chapter/10A.714.pdf" Type="http://schemas.openxmlformats.org/officeDocument/2006/relationships/hyperlink" Id="rId38"/>
    <Relationship TargetMode="External" Target="https://www.legis.iowa.gov/docs/ico/chapter/10A.714.pdf" Type="http://schemas.openxmlformats.org/officeDocument/2006/relationships/hyperlink" Id="rId39"/>
    <Relationship TargetMode="External" Target="https://www.legis.iowa.gov/docs/ico/chapter/10A.714.pdf" Type="http://schemas.openxmlformats.org/officeDocument/2006/relationships/hyperlink" Id="rId40"/>
    <Relationship TargetMode="External" Target="https://www.legis.iowa.gov/docs/ico/chapter/10A.714.pdf" Type="http://schemas.openxmlformats.org/officeDocument/2006/relationships/hyperlink" Id="rId41"/>
    <Relationship TargetMode="External" Target="https://www.legis.iowa.gov/docs/ico/chapter/10A.714.pdf" Type="http://schemas.openxmlformats.org/officeDocument/2006/relationships/hyperlink" Id="rId42"/>
    <Relationship TargetMode="External" Target="https://www.legis.iowa.gov/docs/iac/rule/641.203.13.pdf" Type="http://schemas.openxmlformats.org/officeDocument/2006/relationships/hyperlink" Id="rId43"/>
    <Relationship TargetMode="External" Target="https://www.legis.iowa.gov/docs/iac/rule/641.2203.13.pdf" Type="http://schemas.openxmlformats.org/officeDocument/2006/relationships/hyperlink" Id="rId44"/>
    <Relationship TargetMode="External" Target="https://www.legis.iowa.gov/docs/ico/chapter/10A.714.pdf" Type="http://schemas.openxmlformats.org/officeDocument/2006/relationships/hyperlink" Id="rId45"/>
    <Relationship TargetMode="External" Target="https://www.legis.iowa.gov/docs/ico/chapter/10A.714.pdf" Type="http://schemas.openxmlformats.org/officeDocument/2006/relationships/hyperlink" Id="rId46"/>
    <Relationship TargetMode="External" Target="https://www.legis.iowa.gov/docs/ico/chapter/10A.714.pdf" Type="http://schemas.openxmlformats.org/officeDocument/2006/relationships/hyperlink" Id="rId47"/>
    <Relationship TargetMode="External" Target="https://www.legis.iowa.gov/docs/ico/chapter/10A.711-729.pdf" Type="http://schemas.openxmlformats.org/officeDocument/2006/relationships/hyperlink" Id="rId4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