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2043</w:t>
      </w:r>
    </w:p>
    <w:p>
      <w:pPr>
        <w:spacing w:before="0" w:after="0"/>
        <w:ind w:left="120"/>
        <w:jc w:val="center"/>
      </w:pPr>
      <w:r>
        <w:rPr>
          <w:rFonts w:ascii="Times New Roman" w:hAnsi="Times New Roman"/>
          <w:b w:val="false"/>
          <w:i w:val="false"/>
          <w:color w:val="000000"/>
          <w:sz w:val="21"/>
        </w:rPr>
        <w:t>LICENSURE OF PERSONS LICENSED IN OTHER JURISDICTIONS</w:t>
      </w:r>
    </w:p>
    <w:p>
      <w:pPr>
        <w:spacing w:before="0" w:after="0"/>
        <w:ind w:left="120"/>
        <w:jc w:val="center"/>
      </w:pPr>
      <w:r>
        <w:rPr>
          <w:rFonts w:ascii="Times New Roman" w:hAnsi="Times New Roman"/>
          <w:b w:val="false"/>
          <w:i w:val="false"/>
          <w:color w:val="000000"/>
          <w:sz w:val="14"/>
        </w:rPr>
        <w:t>[Prior to 4/17/24, see 193F—Chapter 26]</w:t>
      </w:r>
    </w:p>
    <w:p>
      <w:pPr>
        <w:spacing w:before="0" w:after="0"/>
        <w:ind w:left="120"/>
        <w:jc w:val="center"/>
      </w:pPr>
      <w:r>
        <w:rPr>
          <w:rFonts w:ascii="Times New Roman" w:hAnsi="Times New Roman"/>
          <w:b w:val="false"/>
          <w:i w:val="false"/>
          <w:color w:val="000000"/>
          <w:sz w:val="14"/>
        </w:rPr>
        <w:t>[Prior to 6/10/26, see Real Estate Appraiser Examining Board[193F]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481—2043.1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“Issuing jurisdiction”</w:t>
      </w:r>
      <w:r>
        <w:rPr>
          <w:rFonts w:ascii="Times New Roman" w:hAnsi="Times New Roman"/>
          <w:b w:val="false"/>
          <w:i w:val="false"/>
          <w:color w:val="000000"/>
          <w:sz w:val="22"/>
        </w:rPr>
        <w:t> </w:t>
      </w:r>
      <w:r>
        <w:rPr>
          <w:rFonts w:ascii="Times New Roman" w:hAnsi="Times New Roman"/>
          <w:b w:val="false"/>
          <w:i w:val="false"/>
          <w:color w:val="000000"/>
          <w:sz w:val="22"/>
        </w:rPr>
        <w:t>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“licensure”</w:t>
      </w:r>
      <w:r>
        <w:rPr>
          <w:rFonts w:ascii="Times New Roman" w:hAnsi="Times New Roman"/>
          <w:b w:val="false"/>
          <w:i w:val="false"/>
          <w:color w:val="000000"/>
          <w:sz w:val="22"/>
        </w:rPr>
        <w:t> </w:t>
      </w:r>
      <w:r>
        <w:rPr>
          <w:rFonts w:ascii="Times New Roman" w:hAnsi="Times New Roman"/>
          <w:b w:val="false"/>
          <w:i w:val="false"/>
          <w:color w:val="000000"/>
          <w:sz w:val="22"/>
        </w:rPr>
        <w:t>means any license that may be granted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481—2043.2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of persons licensed in other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2043.2(1)</w:t>
      </w:r>
      <w:r>
        <w:rPr>
          <w:rFonts w:ascii="Times New Roman" w:hAnsi="Times New Roman"/>
          <w:b w:val="false"/>
          <w:i w:val="false"/>
          <w:color w:val="000000"/>
          <w:sz w:val="22"/>
        </w:rPr>
        <w:t> </w:t>
      </w:r>
      <w:r>
        <w:rPr>
          <w:rFonts w:ascii="Times New Roman" w:hAnsi="Times New Roman"/>
          <w:b w:val="false"/>
          <w:i w:val="false"/>
          <w:color w:val="000000"/>
          <w:sz w:val="22"/>
        </w:rPr>
        <w:t>An individual who establishes residency in this state or who is married to an active duty member of the military forces of the United States and who is accompanying the member on an official permanent change of station to a military installation located in this state may apply for licensure under this rule on forms provided by the board. A certification or registration will be issued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currently licensed, certified, or registered by at least one other issuing jurisdiction in the profession or occupation applied for with a substantially similar scope of practice and is in good standing in all issuing jurisdictions in which the person holds a license, certificate, or registration. A license, certificate, or registration issued by another jurisdiction that is classified as a licensed residential real property credential or with a scope of practice of a licensed residential real property appraiser, as defined by the AQB criteria, other applicable federal law, rule, or policy, will not be considered a profession or occupation with a substantially similar scope of practice as it relates to a certification or registration as an associate real property appraiser, certified residential real property appraiser, or a certified general real property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certified, or registered by the other issuing jurisdiction forming the basis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person was licensed by the other issuing jurisdiction forming the basis of the application, the issuing jurisdiction imposed minimum educational and experience obligations, and the issuing jurisdiction verifies that the person met those obligations in order to be licensed in that issuing jurisdiction. Generally, given federal mandates, the minimum educational and experience obligations to become certified as a real estate appraiser are substantially the same nationwide within the applicable classification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previously passed an AQB-approved examination by the other issuing jurisdiction for licensure,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a license, certificate, or registration revoked and has not voluntarily surrendered a license, certificate, or registration in any other issuing jurisdiction or country while under investigation for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discipline imposed by any other regulating entity in this state or another issuing jurisdiction or country. If another jurisdiction has taken disciplinary action against the person, the appropriate licensing board shall determine if the cause for the action was corrected and the matter resolved. If the licensing board determines that the matter has not been resolved by the jurisdiction imposing discipline, the licensing board will not issue or deny a license, certificate, or registration to the person until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complaint, allegation, or investigation pending before any regulating entity in another issuing jurisdiction or country that relates to unprofessional conduct. If the person has any complaints, allegations, or investigations pending, the appropriate licensing board shall not issue or deny a license, certificate, or registration to the person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pays all applicable fees. The fees for applying for licensure under this rule will be the same as the fees for reciprocal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criminal history that would prevent the person from holding the license applied for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2043.2(2)</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licensure under this rule will provide, as applicable, proof of current residency in the state of Iowa or proof of the military member’s official permanent change of station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residency may include, by way of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federal or state government document;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permanent change of station to the state of Iowa includes documentation issued by the appropriate branch of the military requiring a permanent change of station or otherwise indicating or demonstrating a permanent change of station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2043.2(3)</w:t>
      </w:r>
      <w:r>
        <w:rPr>
          <w:rFonts w:ascii="Times New Roman" w:hAnsi="Times New Roman"/>
          <w:b w:val="false"/>
          <w:i w:val="false"/>
          <w:color w:val="000000"/>
          <w:sz w:val="22"/>
        </w:rPr>
        <w:t> </w:t>
      </w:r>
      <w:r>
        <w:rPr>
          <w:rFonts w:ascii="Times New Roman" w:hAnsi="Times New Roman"/>
          <w:b w:val="false"/>
          <w:i w:val="false"/>
          <w:color w:val="000000"/>
          <w:sz w:val="22"/>
        </w:rPr>
        <w:t>In order to be considered a sufficient application, an application for licensure under this rule must include all appropriate information as required by this rule and, if applicable, the submission of fingerprints and an appropriate authorization of release as may be necessary to facilitate the board’s completion of a criminal history check and any corresponding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2043.2(4)</w:t>
      </w:r>
      <w:r>
        <w:rPr>
          <w:rFonts w:ascii="Times New Roman" w:hAnsi="Times New Roman"/>
          <w:b w:val="false"/>
          <w:i w:val="false"/>
          <w:color w:val="000000"/>
          <w:sz w:val="22"/>
        </w:rPr>
        <w:t> </w:t>
      </w:r>
      <w:r>
        <w:rPr>
          <w:rFonts w:ascii="Times New Roman" w:hAnsi="Times New Roman"/>
          <w:b w:val="false"/>
          <w:i w:val="false"/>
          <w:color w:val="000000"/>
          <w:sz w:val="22"/>
        </w:rPr>
        <w:t>A person issued a license under this rule is subject to the jurisdiction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2043.2(5)</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board’s decision to deny an application for a license under this rule may request a contested case hearing. A request for such a contested case hearing will be granted only if the board receives the request within 30 days of issuance of the board’s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2019 Iowa Acts, House File 288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7865C</w:t>
      </w:r>
      <w:r>
        <w:rPr>
          <w:rFonts w:ascii="Times New Roman" w:hAnsi="Times New Roman"/>
          <w:b w:val="false"/>
          <w:i w:val="false"/>
          <w:color w:val="000000"/>
          <w:sz w:val="21"/>
        </w:rPr>
        <w:t xml:space="preserve"> (Notice ARC 7275C,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272C.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