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RECORDING AND REPORTING OCCUPATIONAL INJURIES AND ILLNESSES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7/9/25, see Labor Services Division[875] Ch 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public and private employers.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First reports of injury.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report to the division of workers’ compensation is considered to be a report to the division of labor services. The division of workers’ compensation will forward all reports to the division of labor services.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and reporting 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noted in this rule, the federal Occupational Safety and Health Administration (OSHA) regulations at 29 CFR 1904.0 through 1904.46 as published at 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6122 through 6135 (January 19, 2001) are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amendments to 29 CFR 1904.0 through 1904.46 are adopted: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52031-52034 (October 12, 2001)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44047 (July 1, 2002)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77170 (December 17, 2002)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38606 (June 30, 2003)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79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56186 (September 18, 2014)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29691 (May 12, 2016)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31854 (May 20, 2016)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405 (January 25, 2019)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21457 (May 14, 2019)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85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8731 (February 18, 2020)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47254 (July 21, 2023)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reporting methods set forth in 29 CFR 1904.39(a), employers may make reports required by 29 CFR 1904.39 using at least one of the following methods: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Completing the incident report form and faxing or emailing the completed form to Iowa OSHA in the department of inspections, appeals, and licensing;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Calling 877.242.6742;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Visiting 6200 Park Avenue, Suite 100, Des Moines, Iowa.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July 13, 1972; amended August 29, 1972, December 1, 1972, April 2, 1973,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February 28, 1975]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12/15/75, Notice 10/6/75—published 12/29/75, effective 2/4/76]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11/18/77, Notice 10/5/77—published 12/14/77, effective 1/20/78]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3/15/78, Notice 2/8/78—published 4/5/78, effective 5/15/78]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11/2/78, Notice 9/20/78—published 11/15/78, effective 12/22/78]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11/8/79—published 11/28/79,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11/20/79—published 12/12/79, effective 11/20/79]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12/5/79]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10/3/80, Notice 7/9/80—published 10/29/80, effective 12/3/80]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7/1/83, Notice 5/11/83—published 7/20/83, effective 9/1/83]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10/6/94 after Notice 7/6/94—published 10/26/94, effective 10/26/94]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1/21/00, Notice 8/25/99—published 2/9/00, effective 3/15/00]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12/19/01 after Notice 11/14/01—published 1/23/02, effective 1/1/02]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11/22/02—published 12/11/02, effective 1/1/03]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3/28/03, Notice 2/19/03—published 4/16/03, effective 5/21/03]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7/16/04 after Notice 6/9/04—published 8/4/04, effective 8/4/04]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1677C, IAB 10/15/14)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12/10/14, effective 1/14/15]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2688C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2615C, IAB 7/6/16)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8/31/16, effective 11/1/16]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4412C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4318C, IAB 2/27/19)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4/24/19, effective 5/29/19]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4640C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4520C, IAB 7/3/19)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8/28/19, effective 10/2/19]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5022C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4894C, IAB 2/12/20)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4/8/20, effective 5/13/20]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5158C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4996C, IAB 3/25/20)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8/26/20, effective 9/30/20]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6986C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6771C, IAB 12/28/22)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4/19/23, effective 5/24/23]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8113C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7941C, IAB 5/15/24)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7/10/24,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7/9/25]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