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2038</w:t>
      </w:r>
    </w:p>
    <w:p>
      <w:pPr>
        <w:spacing w:before="0" w:after="0"/>
        <w:ind w:left="120"/>
        <w:jc w:val="center"/>
      </w:pPr>
      <w:r>
        <w:rPr>
          <w:rFonts w:ascii="Times New Roman" w:hAnsi="Times New Roman"/>
          <w:b w:val="false"/>
          <w:i w:val="false"/>
          <w:color w:val="000000"/>
          <w:sz w:val="21"/>
        </w:rPr>
        <w:t>RENEWAL, EXPIRATION AND REINSTATEMENT OF</w:t>
      </w:r>
      <w:r>
        <w:br/>
      </w:r>
      <w:r>
        <w:rPr>
          <w:rFonts w:ascii="Times New Roman" w:hAnsi="Times New Roman"/>
          <w:b w:val="false"/>
          <w:i w:val="false"/>
          <w:color w:val="000000"/>
          <w:sz w:val="21"/>
        </w:rPr>
        <w:t>CERTIFICATES AND REGISTRATIONS, RETIRED STATUS, AND INACTIVE STATUS</w:t>
      </w:r>
    </w:p>
    <w:p>
      <w:pPr>
        <w:spacing w:before="0" w:after="0"/>
        <w:ind w:left="120"/>
        <w:jc w:val="center"/>
      </w:pPr>
      <w:r>
        <w:rPr>
          <w:rFonts w:ascii="Times New Roman" w:hAnsi="Times New Roman"/>
          <w:b w:val="false"/>
          <w:i w:val="false"/>
          <w:color w:val="000000"/>
          <w:sz w:val="14"/>
        </w:rPr>
        <w:t>[Prior to 4/17/24, see 193F—Chapter 9]</w:t>
      </w:r>
    </w:p>
    <w:p>
      <w:pPr>
        <w:spacing w:before="0" w:after="0"/>
        <w:ind w:left="120"/>
        <w:jc w:val="center"/>
      </w:pPr>
      <w:r>
        <w:rPr>
          <w:rFonts w:ascii="Times New Roman" w:hAnsi="Times New Roman"/>
          <w:b w:val="false"/>
          <w:i w:val="false"/>
          <w:color w:val="000000"/>
          <w:sz w:val="14"/>
        </w:rPr>
        <w:t>[Prior to 6/10/26, see Real Estate Appraiser Examining Board[193F]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481—2038.1</w:t>
      </w:r>
      <w:r>
        <w:rPr>
          <w:rFonts w:ascii="Times New Roman" w:hAnsi="Times New Roman"/>
          <w:b/>
          <w:i w:val="false"/>
          <w:color w:val="000000"/>
          <w:sz w:val="22"/>
        </w:rPr>
        <w:t xml:space="preserve">(272C,543D) </w:t>
      </w:r>
      <w:r>
        <w:rPr>
          <w:rFonts w:ascii="Times New Roman" w:hAnsi="Times New Roman"/>
          <w:b/>
          <w:i w:val="false"/>
          <w:color w:val="000000"/>
          <w:sz w:val="22"/>
        </w:rPr>
        <w:t xml:space="preserve">Biennial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2038.1(1)</w:t>
      </w:r>
      <w:r>
        <w:rPr>
          <w:rFonts w:ascii="Times New Roman" w:hAnsi="Times New Roman"/>
          <w:b w:val="false"/>
          <w:i w:val="false"/>
          <w:color w:val="000000"/>
          <w:sz w:val="22"/>
        </w:rPr>
        <w:t> </w:t>
      </w:r>
      <w:r>
        <w:rPr>
          <w:rFonts w:ascii="Times New Roman" w:hAnsi="Times New Roman"/>
          <w:b w:val="false"/>
          <w:i w:val="false"/>
          <w:color w:val="000000"/>
          <w:sz w:val="22"/>
        </w:rPr>
        <w:t>Licenses have to be renewed on a biennial basis or they lapse.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2038.1(2)</w:t>
      </w:r>
      <w:r>
        <w:rPr>
          <w:rFonts w:ascii="Times New Roman" w:hAnsi="Times New Roman"/>
          <w:b w:val="false"/>
          <w:i w:val="false"/>
          <w:color w:val="000000"/>
          <w:sz w:val="22"/>
        </w:rPr>
        <w:t> </w:t>
      </w:r>
      <w:r>
        <w:rPr>
          <w:rFonts w:ascii="Times New Roman" w:hAnsi="Times New Roman"/>
          <w:b w:val="false"/>
          <w:i w:val="false"/>
          <w:color w:val="000000"/>
          <w:sz w:val="22"/>
        </w:rPr>
        <w:t>Persons licensed before June 30, 2024, will maintain their biennial renewal timelines. For licensees initially licensed after June 30, 2024, all licenses will expire biennially on June 30.</w:t>
      </w:r>
    </w:p>
    <w:p>
      <w:pPr>
        <w:spacing w:before="0" w:after="0"/>
        <w:ind w:left="120"/>
        <w:jc w:val="both"/>
      </w:pPr>
      <w:r>
        <w:rPr>
          <w:rFonts w:ascii="Times New Roman" w:hAnsi="Times New Roman"/>
          <w:b w:val="false"/>
          <w:i w:val="false"/>
          <w:color w:val="000000"/>
          <w:sz w:val="22"/>
        </w:rPr>
        <w:t>Example: Certified general licensee obtains licensure on May 25, 2025. License will expire on June 30, 2026, with the first year being a partial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2038.1(3)</w:t>
      </w:r>
      <w:r>
        <w:rPr>
          <w:rFonts w:ascii="Times New Roman" w:hAnsi="Times New Roman"/>
          <w:b w:val="false"/>
          <w:i w:val="false"/>
          <w:color w:val="000000"/>
          <w:sz w:val="22"/>
        </w:rPr>
        <w:t> </w:t>
      </w:r>
      <w:r>
        <w:rPr>
          <w:rFonts w:ascii="Times New Roman" w:hAnsi="Times New Roman"/>
          <w:b w:val="false"/>
          <w:i w:val="false"/>
          <w:color w:val="000000"/>
          <w:sz w:val="22"/>
        </w:rPr>
        <w:t>An application to renew a certificate or registration has to be submitted through the board’s online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2038.1(4)</w:t>
      </w:r>
      <w:r>
        <w:rPr>
          <w:rFonts w:ascii="Times New Roman" w:hAnsi="Times New Roman"/>
          <w:b w:val="false"/>
          <w:i w:val="false"/>
          <w:color w:val="000000"/>
          <w:sz w:val="22"/>
        </w:rPr>
        <w:t> </w:t>
      </w:r>
      <w:r>
        <w:rPr>
          <w:rFonts w:ascii="Times New Roman" w:hAnsi="Times New Roman"/>
          <w:b w:val="false"/>
          <w:i w:val="false"/>
          <w:color w:val="000000"/>
          <w:sz w:val="22"/>
        </w:rPr>
        <w:t>All continuing education claimed on a biennial renewal needs to have been acquired during the renewal period. In addition, all continuing education claimed on a biennial renewal has to have been taken and completed prior to submission of the renewal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481—2038.2</w:t>
      </w:r>
      <w:r>
        <w:rPr>
          <w:rFonts w:ascii="Times New Roman" w:hAnsi="Times New Roman"/>
          <w:b/>
          <w:i w:val="false"/>
          <w:color w:val="000000"/>
          <w:sz w:val="22"/>
        </w:rPr>
        <w:t xml:space="preserve">(272C,543D) </w:t>
      </w:r>
      <w:r>
        <w:rPr>
          <w:rFonts w:ascii="Times New Roman" w:hAnsi="Times New Roman"/>
          <w:b/>
          <w:i w:val="false"/>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2038.2(1)</w:t>
      </w:r>
      <w:r>
        <w:rPr>
          <w:rFonts w:ascii="Times New Roman" w:hAnsi="Times New Roman"/>
          <w:b w:val="false"/>
          <w:i w:val="false"/>
          <w:color w:val="000000"/>
          <w:sz w:val="22"/>
        </w:rPr>
        <w:t> </w:t>
      </w:r>
      <w:r>
        <w:rPr>
          <w:rFonts w:ascii="Times New Roman" w:hAnsi="Times New Roman"/>
          <w:b w:val="false"/>
          <w:i w:val="false"/>
          <w:color w:val="000000"/>
          <w:sz w:val="22"/>
        </w:rPr>
        <w:t>The board may send renewal notices to licensed appraisers. However, it is the licensee’s responsibility to renew timely.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2038.2(2)</w:t>
      </w:r>
      <w:r>
        <w:rPr>
          <w:rFonts w:ascii="Times New Roman" w:hAnsi="Times New Roman"/>
          <w:b w:val="false"/>
          <w:i w:val="false"/>
          <w:color w:val="000000"/>
          <w:sz w:val="22"/>
        </w:rPr>
        <w:t> </w:t>
      </w:r>
      <w:r>
        <w:rPr>
          <w:rFonts w:ascii="Times New Roman" w:hAnsi="Times New Roman"/>
          <w:b w:val="false"/>
          <w:i w:val="false"/>
          <w:color w:val="000000"/>
          <w:sz w:val="22"/>
        </w:rPr>
        <w:t>Certified and associate appraisers have to ensure that their contact information on file with the board office is current and that the board is notified within 30 days of any changes.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481—2038.3</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Renewal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2038.3(1)</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Certified and associate appraisers have to file a complete renewal application with the board by the June 30 deadline in the biennial renewal year. An application will be deemed filed on the date of board receipt, the date of electronic submission or, if payment is mailed, the date postmarked but not the date metered.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2038.3(2)</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An applicant for renewal has to report the applicant’s compliance with the continuing education obligations provided in </w:t>
      </w:r>
      <w:hyperlink r:id="rId5">
        <w:r>
          <w:rPr>
            <w:rStyle w:val="Hyperlink"/>
            <w:rFonts w:ascii="Times New Roman" w:hAnsi="Times New Roman"/>
            <w:b w:val="false"/>
            <w:i w:val="false"/>
            <w:color w:val="000000"/>
            <w:sz w:val="22"/>
          </w:rPr>
          <w:t>481—Chapter 2040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2038.3(3)</w:t>
      </w:r>
      <w:r>
        <w:rPr>
          <w:rFonts w:ascii="Times New Roman" w:hAnsi="Times New Roman"/>
          <w:b w:val="false"/>
          <w:i w:val="false"/>
          <w:color w:val="000000"/>
          <w:sz w:val="22"/>
        </w:rPr>
        <w:t> </w:t>
      </w:r>
      <w:r>
        <w:rPr>
          <w:rFonts w:ascii="Times New Roman" w:hAnsi="Times New Roman"/>
          <w:b w:val="false"/>
          <w:i/>
          <w:color w:val="000000"/>
          <w:sz w:val="22"/>
        </w:rPr>
        <w:t xml:space="preserve">Background disclosures. </w:t>
      </w:r>
      <w:r>
        <w:rPr>
          <w:rFonts w:ascii="Times New Roman" w:hAnsi="Times New Roman"/>
          <w:b w:val="false"/>
          <w:i w:val="false"/>
          <w:color w:val="000000"/>
          <w:sz w:val="22"/>
        </w:rPr>
        <w:t>An applicant for renewal has to disclose such background and character information as the board requests, which may include disciplinary action taken by any jurisdiction regarding a professional license of any type, the denial of an application for a professional license of any type by any jurisdiction, and the conviction of any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2038.3(4)</w:t>
      </w:r>
      <w:r>
        <w:rPr>
          <w:rFonts w:ascii="Times New Roman" w:hAnsi="Times New Roman"/>
          <w:b w:val="false"/>
          <w:i w:val="false"/>
          <w:color w:val="000000"/>
          <w:sz w:val="22"/>
        </w:rPr>
        <w:t> </w:t>
      </w:r>
      <w:r>
        <w:rPr>
          <w:rFonts w:ascii="Times New Roman" w:hAnsi="Times New Roman"/>
          <w:b w:val="false"/>
          <w:i/>
          <w:color w:val="000000"/>
          <w:sz w:val="22"/>
        </w:rPr>
        <w:t xml:space="preserve">Insufficient applications. </w:t>
      </w:r>
      <w:r>
        <w:rPr>
          <w:rFonts w:ascii="Times New Roman" w:hAnsi="Times New Roman"/>
          <w:b w:val="false"/>
          <w:i w:val="false"/>
          <w:color w:val="000000"/>
          <w:sz w:val="22"/>
        </w:rPr>
        <w:t>The board will reject applications that are insufficient.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2038.3(5)</w:t>
      </w:r>
      <w:r>
        <w:rPr>
          <w:rFonts w:ascii="Times New Roman" w:hAnsi="Times New Roman"/>
          <w:b w:val="false"/>
          <w:i w:val="false"/>
          <w:color w:val="000000"/>
          <w:sz w:val="22"/>
        </w:rPr>
        <w:t> </w:t>
      </w:r>
      <w:r>
        <w:rPr>
          <w:rFonts w:ascii="Times New Roman" w:hAnsi="Times New Roman"/>
          <w:b w:val="false"/>
          <w:i/>
          <w:color w:val="000000"/>
          <w:sz w:val="22"/>
        </w:rPr>
        <w:t xml:space="preserve">Resubmission of rejected applications. </w:t>
      </w:r>
      <w:r>
        <w:rPr>
          <w:rFonts w:ascii="Times New Roman" w:hAnsi="Times New Roman"/>
          <w:b w:val="false"/>
          <w:i w:val="false"/>
          <w:color w:val="000000"/>
          <w:sz w:val="22"/>
        </w:rPr>
        <w:t>The board will promptly notify an applicant of the basis for rejecting an insufficient renewal application. Applicants may correct deficiencies and resubmit an application. Resubmitted applications are deemed received on the date of electronic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2038.3(6)</w:t>
      </w:r>
      <w:r>
        <w:rPr>
          <w:rFonts w:ascii="Times New Roman" w:hAnsi="Times New Roman"/>
          <w:b w:val="false"/>
          <w:i w:val="false"/>
          <w:color w:val="000000"/>
          <w:sz w:val="22"/>
        </w:rPr>
        <w:t> </w:t>
      </w:r>
      <w:r>
        <w:rPr>
          <w:rFonts w:ascii="Times New Roman" w:hAnsi="Times New Roman"/>
          <w:b w:val="false"/>
          <w:i/>
          <w:color w:val="000000"/>
          <w:sz w:val="22"/>
        </w:rPr>
        <w:t xml:space="preserve">Administrative processing not determinative. </w:t>
      </w:r>
      <w:r>
        <w:rPr>
          <w:rFonts w:ascii="Times New Roman" w:hAnsi="Times New Roman"/>
          <w:b w:val="false"/>
          <w:i w:val="false"/>
          <w:color w:val="000000"/>
          <w:sz w:val="22"/>
        </w:rPr>
        <w:t>The administrative processing of an application to renew a certificate or registration will not prevent the board from subsequently challenging the application based on new information, such as after-acquired information of continuing education violations.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2038.3(7)</w:t>
      </w:r>
      <w:r>
        <w:rPr>
          <w:rFonts w:ascii="Times New Roman" w:hAnsi="Times New Roman"/>
          <w:b w:val="false"/>
          <w:i w:val="false"/>
          <w:color w:val="000000"/>
          <w:sz w:val="22"/>
        </w:rPr>
        <w:t> </w:t>
      </w:r>
      <w:r>
        <w:rPr>
          <w:rFonts w:ascii="Times New Roman" w:hAnsi="Times New Roman"/>
          <w:b w:val="false"/>
          <w:i/>
          <w:color w:val="000000"/>
          <w:sz w:val="22"/>
        </w:rPr>
        <w:t xml:space="preserve">Denial of timely and sufficient application to renew. </w:t>
      </w:r>
      <w:r>
        <w:rPr>
          <w:rFonts w:ascii="Times New Roman" w:hAnsi="Times New Roman"/>
          <w:b w:val="false"/>
          <w:i w:val="false"/>
          <w:color w:val="000000"/>
          <w:sz w:val="22"/>
        </w:rPr>
        <w:t>If grounds exist to deny an application to renew, the board will send notification to the applicant stating the grounds for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481—2038.4</w:t>
      </w:r>
      <w:r>
        <w:rPr>
          <w:rFonts w:ascii="Times New Roman" w:hAnsi="Times New Roman"/>
          <w:b/>
          <w:i w:val="false"/>
          <w:color w:val="000000"/>
          <w:sz w:val="22"/>
        </w:rPr>
        <w:t xml:space="preserve">(272C,543D) </w:t>
      </w:r>
      <w:r>
        <w:rPr>
          <w:rFonts w:ascii="Times New Roman" w:hAnsi="Times New Roman"/>
          <w:b/>
          <w:i w:val="false"/>
          <w:color w:val="000000"/>
          <w:sz w:val="22"/>
        </w:rPr>
        <w:t xml:space="preserve">Failure to renew.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2038.4(1)</w:t>
      </w:r>
      <w:r>
        <w:rPr>
          <w:rFonts w:ascii="Times New Roman" w:hAnsi="Times New Roman"/>
          <w:b w:val="false"/>
          <w:i w:val="false"/>
          <w:color w:val="000000"/>
          <w:sz w:val="22"/>
        </w:rPr>
        <w:t> </w:t>
      </w:r>
      <w:r>
        <w:rPr>
          <w:rFonts w:ascii="Times New Roman" w:hAnsi="Times New Roman"/>
          <w:b w:val="false"/>
          <w:i w:val="false"/>
          <w:color w:val="000000"/>
          <w:sz w:val="22"/>
        </w:rPr>
        <w:t>The certificate or registration of a certified or associate appraiser lapses unless the appraiser submits a timely and sufficient renewal application by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2038.4(2)</w:t>
      </w:r>
      <w:r>
        <w:rPr>
          <w:rFonts w:ascii="Times New Roman" w:hAnsi="Times New Roman"/>
          <w:b w:val="false"/>
          <w:i w:val="false"/>
          <w:color w:val="000000"/>
          <w:sz w:val="22"/>
        </w:rPr>
        <w:t> </w:t>
      </w:r>
      <w:r>
        <w:rPr>
          <w:rFonts w:ascii="Times New Roman" w:hAnsi="Times New Roman"/>
          <w:b w:val="false"/>
          <w:i w:val="false"/>
          <w:color w:val="000000"/>
          <w:sz w:val="22"/>
        </w:rPr>
        <w:t>Certified and associate appraisers are not authorized to practice or to hold themselves out to the public as certified or registered appraisers during the period of time that the certificate or registration is lapsed. Any violation of this subrule will be grounds for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2038.4(3)</w:t>
      </w:r>
      <w:r>
        <w:rPr>
          <w:rFonts w:ascii="Times New Roman" w:hAnsi="Times New Roman"/>
          <w:b w:val="false"/>
          <w:i w:val="false"/>
          <w:color w:val="000000"/>
          <w:sz w:val="22"/>
        </w:rPr>
        <w:t> </w:t>
      </w:r>
      <w:r>
        <w:rPr>
          <w:rFonts w:ascii="Times New Roman" w:hAnsi="Times New Roman"/>
          <w:b w:val="false"/>
          <w:i w:val="false"/>
          <w:color w:val="000000"/>
          <w:sz w:val="22"/>
        </w:rPr>
        <w:t>Reinstatement. The board may reinstate a lapsed certificate or registration upon the applicant’s submission of an application to reinstate and completion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Paying a penalty as provided by board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Paying the current renewal fee as provided by board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Paying the Appraisal Subcommittee National Registry fee as provided by board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Completing a state and national criminal history check as required by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evidence of completed continuing education outlined in rule </w:t>
      </w:r>
      <w:hyperlink r:id="rId6">
        <w:r>
          <w:rPr>
            <w:rStyle w:val="Hyperlink"/>
            <w:rFonts w:ascii="Times New Roman" w:hAnsi="Times New Roman"/>
            <w:b w:val="false"/>
            <w:i w:val="false"/>
            <w:color w:val="000000"/>
            <w:sz w:val="22"/>
          </w:rPr>
          <w:t>481—2040.2</w:t>
        </w:r>
      </w:hyperlink>
      <w:r>
        <w:rPr>
          <w:rFonts w:ascii="Times New Roman" w:hAnsi="Times New Roman"/>
          <w:b w:val="false"/>
          <w:i w:val="false"/>
          <w:color w:val="000000"/>
          <w:sz w:val="22"/>
        </w:rPr>
        <w:t xml:space="preserve">(272C,543D), as modified for associate appraisers in subrule </w:t>
      </w:r>
      <w:hyperlink r:id="rId7">
        <w:r>
          <w:rPr>
            <w:rStyle w:val="Hyperlink"/>
            <w:rFonts w:ascii="Times New Roman" w:hAnsi="Times New Roman"/>
            <w:b w:val="false"/>
            <w:i w:val="false"/>
            <w:color w:val="000000"/>
            <w:sz w:val="22"/>
          </w:rPr>
          <w:t>2038.4(6)</w:t>
        </w:r>
      </w:hyperlink>
      <w:r>
        <w:rPr>
          <w:rFonts w:ascii="Times New Roman" w:hAnsi="Times New Roman"/>
          <w:b w:val="false"/>
          <w:i w:val="false"/>
          <w:color w:val="000000"/>
          <w:sz w:val="22"/>
        </w:rPr>
        <w:t>, if the licensee wishes to reinstate to active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 written statement outlining the professional activities of the applicant in the state of Iowa during the period in which the applicant’s license had lapsed. The statement will describe all appraisal services performed, with or without the use of the titles described in Iowa Code section </w:t>
      </w:r>
      <w:hyperlink r:id="rId8">
        <w:r>
          <w:rPr>
            <w:rStyle w:val="Hyperlink"/>
            <w:rFonts w:ascii="Times New Roman" w:hAnsi="Times New Roman"/>
            <w:b w:val="false"/>
            <w:i w:val="false"/>
            <w:color w:val="000000"/>
            <w:sz w:val="22"/>
          </w:rPr>
          <w:t>543D.15</w:t>
        </w:r>
      </w:hyperlink>
      <w:r>
        <w:rPr>
          <w:rFonts w:ascii="Times New Roman" w:hAnsi="Times New Roman"/>
          <w:b w:val="false"/>
          <w:i w:val="false"/>
          <w:color w:val="000000"/>
          <w:sz w:val="22"/>
        </w:rPr>
        <w:t>, for all appraisal assignments that federal or state law, rule, or policy mandate to be performed by a certified real estate appraiser.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2038.4(4)</w:t>
      </w:r>
      <w:r>
        <w:rPr>
          <w:rFonts w:ascii="Times New Roman" w:hAnsi="Times New Roman"/>
          <w:b w:val="false"/>
          <w:i w:val="false"/>
          <w:color w:val="000000"/>
          <w:sz w:val="22"/>
        </w:rPr>
        <w:t> </w:t>
      </w:r>
      <w:r>
        <w:rPr>
          <w:rFonts w:ascii="Times New Roman" w:hAnsi="Times New Roman"/>
          <w:b w:val="false"/>
          <w:i w:val="false"/>
          <w:color w:val="000000"/>
          <w:sz w:val="22"/>
        </w:rPr>
        <w:t>Reinstating associate appraisers are to follow special continuing education obligations. The board seeks to ensure that associate appraisers make progress toward full completion of all qualifying education needed for eventual certification, as provided in the rules. As a result, an associate appraiser applying to reinstate a registration that has been lapsed for 12 months or longer will complete the most recent seven-hour USPAP course, and only qualifying education toward the continuing education needed for reinstatement, until all qualifying education has been completed. If the applicant has already completed all qualifying education or has to have continuing education hours beyond those needed to fully complete all qualifying education, the applicant may use any approved continuing education course in addition to the mandatory seven-hour USPAP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481—2038.5</w:t>
      </w:r>
      <w:r>
        <w:rPr>
          <w:rFonts w:ascii="Times New Roman" w:hAnsi="Times New Roman"/>
          <w:b/>
          <w:i w:val="false"/>
          <w:color w:val="000000"/>
          <w:sz w:val="22"/>
        </w:rPr>
        <w:t xml:space="preserve">(272C,543D) </w:t>
      </w:r>
      <w:r>
        <w:rPr>
          <w:rFonts w:ascii="Times New Roman" w:hAnsi="Times New Roman"/>
          <w:b/>
          <w:i w:val="false"/>
          <w:color w:val="000000"/>
          <w:sz w:val="22"/>
        </w:rPr>
        <w:t xml:space="preserve">Inactive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2038.5(1)</w:t>
      </w:r>
      <w:r>
        <w:rPr>
          <w:rFonts w:ascii="Times New Roman" w:hAnsi="Times New Roman"/>
          <w:b w:val="false"/>
          <w:i w:val="false"/>
          <w:color w:val="000000"/>
          <w:sz w:val="22"/>
        </w:rPr>
        <w:t> </w:t>
      </w:r>
      <w:r>
        <w:rPr>
          <w:rFonts w:ascii="Times New Roman" w:hAnsi="Times New Roman"/>
          <w:b w:val="false"/>
          <w:i/>
          <w:color w:val="000000"/>
          <w:sz w:val="22"/>
        </w:rPr>
        <w:t xml:space="preserve">General purpose. </w:t>
      </w:r>
      <w:r>
        <w:rPr>
          <w:rFonts w:ascii="Times New Roman" w:hAnsi="Times New Roman"/>
          <w:b w:val="false"/>
          <w:i w:val="false"/>
          <w:color w:val="000000"/>
          <w:sz w:val="22"/>
        </w:rPr>
        <w:t>A licensee who is not engaged in Iowa in any practice licensed by the board may allow a license to lapse or register as inactive. The board will continue to maintain a database of persons registered as inactive as well as those whose license has lapsed. A person registered in inactive status is not allowed to perform services in this state regulated by the board. Continuing education is not required for licensees in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2038.5(2)</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holding an active license may apply on forms through the board’s online system to register as inactive if the person is not engaged in appraisal practice in the state of Iowa for which a certificate or associate registration is needed. Inactive status is not available to an individual who has had a board-issued license revoked or suspended. A person seeking inactive status may be actively engaged in the practice of real estate appraising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2038.5(3)</w:t>
      </w:r>
      <w:r>
        <w:rPr>
          <w:rFonts w:ascii="Times New Roman" w:hAnsi="Times New Roman"/>
          <w:b w:val="false"/>
          <w:i w:val="false"/>
          <w:color w:val="000000"/>
          <w:sz w:val="22"/>
        </w:rPr>
        <w:t> </w:t>
      </w:r>
      <w:r>
        <w:rPr>
          <w:rFonts w:ascii="Times New Roman" w:hAnsi="Times New Roman"/>
          <w:b w:val="false"/>
          <w:i/>
          <w:color w:val="000000"/>
          <w:sz w:val="22"/>
        </w:rPr>
        <w:t xml:space="preserve">Affirmation. </w:t>
      </w:r>
      <w:r>
        <w:rPr>
          <w:rFonts w:ascii="Times New Roman" w:hAnsi="Times New Roman"/>
          <w:b w:val="false"/>
          <w:i w:val="false"/>
          <w:color w:val="000000"/>
          <w:sz w:val="22"/>
        </w:rPr>
        <w:t xml:space="preserve">The application form will contain a statement in which the applicant affirms that the applicant will not engage in any conduct that would require an Iowa license without first complying with all rules governing reactivation to active status. A person in inactive status may reactivate to active status at any time pursuant to subrule </w:t>
      </w:r>
      <w:hyperlink r:id="rId9">
        <w:r>
          <w:rPr>
            <w:rStyle w:val="Hyperlink"/>
            <w:rFonts w:ascii="Times New Roman" w:hAnsi="Times New Roman"/>
            <w:b w:val="false"/>
            <w:i w:val="false"/>
            <w:color w:val="000000"/>
            <w:sz w:val="22"/>
          </w:rPr>
          <w:t>2038.5(6)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2038.5(4)</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A person registered as inactive will need to renew biennially. Licensees in inactive status may continue to renew in inactive status. Active licensees may register in inactive status if, for instance, they have not completed all continuing education obligations needed for active status renewal. Any licensee in inactive status must satisfy all outstanding continuing education obligations before reinstating to active status. Continuing education obligations do not accrue during the period of inactive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2038.5(5)</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Licensees are not authorized to practice or to hold themselves out to the public as board-licensed appraisers during the period of time that the licensee is in retired or inactive status. Any violation of this subrule will be grounds for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2038.5(6)</w:t>
      </w:r>
      <w:r>
        <w:rPr>
          <w:rFonts w:ascii="Times New Roman" w:hAnsi="Times New Roman"/>
          <w:b w:val="false"/>
          <w:i w:val="false"/>
          <w:color w:val="000000"/>
          <w:sz w:val="22"/>
        </w:rPr>
        <w:t> </w:t>
      </w:r>
      <w:r>
        <w:rPr>
          <w:rFonts w:ascii="Times New Roman" w:hAnsi="Times New Roman"/>
          <w:b w:val="false"/>
          <w:i/>
          <w:color w:val="000000"/>
          <w:sz w:val="22"/>
        </w:rPr>
        <w:t xml:space="preserve">Reactivation. </w:t>
      </w:r>
      <w:r>
        <w:rPr>
          <w:rFonts w:ascii="Times New Roman" w:hAnsi="Times New Roman"/>
          <w:b w:val="false"/>
          <w:i w:val="false"/>
          <w:color w:val="000000"/>
          <w:sz w:val="22"/>
        </w:rPr>
        <w:t>A person registered as inactive will apply to reactivate to active status prior to engaging in any practice in Iowa that necessitates active licensure by the board. An application to reactivate to active status will be through the board’s online system. Prior to reactivation to active status, the applicant has to complete all education that would have been needed had the applicant been on active status, including the required courses set by the AQB criteria. All such continuing education has to be verified whether or not the applicant has been in active practice in another jurisdiction. Such an applicant will be given credit for the most recent renewal fees previously paid if the applicant applies to reactivate in the same biennium at other than the applicant’s regular renewal date. An associate licensee changing from active to inactive status during a biennial renewal period will not, however, be entitled to a refund of any of the fees previously paid to attain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481—2038.6</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Retired status. </w:t>
      </w:r>
      <w:r>
        <w:rPr>
          <w:rFonts w:ascii="Times New Roman" w:hAnsi="Times New Roman"/>
          <w:b w:val="false"/>
          <w:i w:val="false"/>
          <w:color w:val="000000"/>
          <w:sz w:val="22"/>
        </w:rPr>
        <w:t>A certified licensee may place the licensee’s license in retired status. For purposes of this rule, the term “retired” means the person has retired from working as a certified appraiser and has requested to be placed in retired status through the board’s online system. A licensee in retired status may request that the license be placed back into active status so long as the licensee is still within the biennial period of the last active status. The board will not provide a refund of biennial registration and certification fees when an application for retired status is granted in a biennium in which the applicant has previously paid the biennial fees for either active or inactive status. Licensees in retired status are exempt from the renewal obligation. While in retired status, appraisers cannot hold themselves out to the public as being certified appraisers during the period of time that the license is in retired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481—2038.7</w:t>
      </w:r>
      <w:r>
        <w:rPr>
          <w:rFonts w:ascii="Times New Roman" w:hAnsi="Times New Roman"/>
          <w:b/>
          <w:i w:val="false"/>
          <w:color w:val="000000"/>
          <w:sz w:val="22"/>
        </w:rPr>
        <w:t xml:space="preserve">(272C,543D) </w:t>
      </w:r>
      <w:r>
        <w:rPr>
          <w:rFonts w:ascii="Times New Roman" w:hAnsi="Times New Roman"/>
          <w:b/>
          <w:i w:val="false"/>
          <w:color w:val="000000"/>
          <w:sz w:val="22"/>
        </w:rPr>
        <w:t xml:space="preserve">Property of the board. </w:t>
      </w:r>
      <w:r>
        <w:rPr>
          <w:rFonts w:ascii="Times New Roman" w:hAnsi="Times New Roman"/>
          <w:b w:val="false"/>
          <w:i w:val="false"/>
          <w:color w:val="000000"/>
          <w:sz w:val="22"/>
        </w:rPr>
        <w:t>Every license issued by the board will, while it remains in the possession of the holder, be preserved by the holder but will, nevertheless, always remain the property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543D.5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7845C</w:t>
      </w:r>
      <w:r>
        <w:rPr>
          <w:rFonts w:ascii="Times New Roman" w:hAnsi="Times New Roman"/>
          <w:b w:val="false"/>
          <w:i w:val="false"/>
          <w:color w:val="000000"/>
          <w:sz w:val="21"/>
        </w:rPr>
        <w:t xml:space="preserve"> (Notice ARC 7265C,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2040.pdf" Type="http://schemas.openxmlformats.org/officeDocument/2006/relationships/hyperlink" Id="rId5"/>
    <Relationship TargetMode="External" Target="https://www.legis.iowa.gov/docs/iac/rule/481.2040.2.pdf" Type="http://schemas.openxmlformats.org/officeDocument/2006/relationships/hyperlink" Id="rId6"/>
    <Relationship TargetMode="External" Target="https://www.legis.iowa.gov/docs/iac/rule/481.2038.4.pdf" Type="http://schemas.openxmlformats.org/officeDocument/2006/relationships/hyperlink" Id="rId7"/>
    <Relationship TargetMode="External" Target="https://www.legis.iowa.gov/docs/ico/chapter/543D.15.pdf" Type="http://schemas.openxmlformats.org/officeDocument/2006/relationships/hyperlink" Id="rId8"/>
    <Relationship TargetMode="External" Target="https://www.legis.iowa.gov/docs/iac/rule/481.2038.5.pdf" Type="http://schemas.openxmlformats.org/officeDocument/2006/relationships/hyperlink" Id="rId9"/>
    <Relationship TargetMode="External" Target="https://www.legis.iowa.gov/docs/ico/chapter/543D.5.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