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2037</w:t>
      </w:r>
    </w:p>
    <w:p>
      <w:pPr>
        <w:spacing w:before="0" w:after="0"/>
        <w:ind w:left="120"/>
        <w:jc w:val="center"/>
      </w:pPr>
      <w:r>
        <w:rPr>
          <w:rFonts w:ascii="Times New Roman" w:hAnsi="Times New Roman"/>
          <w:b w:val="false"/>
          <w:i w:val="false"/>
          <w:color w:val="000000"/>
          <w:sz w:val="21"/>
        </w:rPr>
        <w:t>INVESTIGATIONS AND DISCIPLINARY PROCEDURES</w:t>
      </w:r>
    </w:p>
    <w:p>
      <w:pPr>
        <w:spacing w:before="0" w:after="0"/>
        <w:ind w:left="120"/>
        <w:jc w:val="center"/>
      </w:pPr>
      <w:r>
        <w:rPr>
          <w:rFonts w:ascii="Times New Roman" w:hAnsi="Times New Roman"/>
          <w:b w:val="false"/>
          <w:i w:val="false"/>
          <w:color w:val="000000"/>
          <w:sz w:val="14"/>
        </w:rPr>
        <w:t>[Prior to 4/17/24, see 193F—Chapter 8]</w:t>
      </w:r>
    </w:p>
    <w:p>
      <w:pPr>
        <w:spacing w:before="0" w:after="0"/>
        <w:ind w:left="120"/>
        <w:jc w:val="center"/>
      </w:pPr>
      <w:r>
        <w:rPr>
          <w:rFonts w:ascii="Times New Roman" w:hAnsi="Times New Roman"/>
          <w:b w:val="false"/>
          <w:i w:val="false"/>
          <w:color w:val="000000"/>
          <w:sz w:val="14"/>
        </w:rPr>
        <w:t>[Prior to 6/10/26, see Real Estate Appraiser Examining Board[193F]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481—2037.1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The real estate appraiser examining board has authority under applicable law to impose discipline for violations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481—2037.2</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licensee disciplinary investigation upon the board’s receipt of information suggesting that a licensee may have violated the licensee’s legal obligations under the Iowa Code or board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481—2037.3</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need to be submitted to the board through the board’s online system. The board may also initiate its own complaints.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2037.4(1)</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which may be initiated by the board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2037.4(2)</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2037.4(3)</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Tips that are not complaints will be evaluated by the disciplinary committee but may not be assigned a case number or further investigated. Complaints that have been submitted and assigned a case number will be referred to the discipline committee. Final decisions on complaints will be made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written complaint received by the board or complaint initiated by the board, all complaint files will be tracked by a case numbering system. Once a case file number is assigned to a complaint, all persons communicating with the board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481—2037.6</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2037.6(1)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The board chairperson will annually appoint two to three members of the board to serve on the board’s disciplinary committee. The disciplinary committee is a purely advisory body that reviews complaint files referred by the board’s executive officer, generally supervises the investigation of complaints, and makes recommendations to the full board on the disposition of complaints. Members of the committee will not personally investigate complaints, but they may review the investigative work product of others in formulating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2037.6(2)</w:t>
      </w:r>
      <w:r>
        <w:rPr>
          <w:rFonts w:ascii="Times New Roman" w:hAnsi="Times New Roman"/>
          <w:b w:val="false"/>
          <w:i w:val="false"/>
          <w:color w:val="000000"/>
          <w:sz w:val="22"/>
        </w:rPr>
        <w:t> </w:t>
      </w:r>
      <w:r>
        <w:rPr>
          <w:rFonts w:ascii="Times New Roman" w:hAnsi="Times New Roman"/>
          <w:b w:val="false"/>
          <w:i/>
          <w:color w:val="000000"/>
          <w:sz w:val="22"/>
        </w:rPr>
        <w:t xml:space="preserve">Screening of complaints. </w:t>
      </w:r>
      <w:r>
        <w:rPr>
          <w:rFonts w:ascii="Times New Roman" w:hAnsi="Times New Roman"/>
          <w:b w:val="false"/>
          <w:i w:val="false"/>
          <w:color w:val="000000"/>
          <w:sz w:val="22"/>
        </w:rPr>
        <w:t>All complaints presented to the board will be screened, evaluated and, where appropriate, investigated.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481—2037.7</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licensee, the committee may grant the licensee any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2037.7(1)</w:t>
      </w:r>
      <w:r>
        <w:rPr>
          <w:rFonts w:ascii="Times New Roman" w:hAnsi="Times New Roman"/>
          <w:b w:val="false"/>
          <w:i w:val="false"/>
          <w:color w:val="000000"/>
          <w:sz w:val="22"/>
        </w:rPr>
        <w:t> </w:t>
      </w:r>
      <w:r>
        <w:rPr>
          <w:rFonts w:ascii="Times New Roman" w:hAnsi="Times New Roman"/>
          <w:b w:val="false"/>
          <w:i w:val="false"/>
          <w:color w:val="000000"/>
          <w:sz w:val="22"/>
        </w:rPr>
        <w:t>Because disciplinary investigations are confidential, only the licensee’s legal representative may attend the information discussion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board members to participate in board decision making and to receive the advice of staff, licensees who desire to attend an informal discussion waive their right to seek disqualification of a board member or staff based solely on the board member’s or staff’s participation in an informal discussion. Licensees would not be waiving their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2037.7(4)</w:t>
      </w:r>
      <w:r>
        <w:rPr>
          <w:rFonts w:ascii="Times New Roman" w:hAnsi="Times New Roman"/>
          <w:b w:val="false"/>
          <w:i w:val="false"/>
          <w:color w:val="000000"/>
          <w:sz w:val="22"/>
        </w:rPr>
        <w:t> </w:t>
      </w:r>
      <w:r>
        <w:rPr>
          <w:rFonts w:ascii="Times New Roman" w:hAnsi="Times New Roman"/>
          <w:b w:val="false"/>
          <w:i w:val="false"/>
          <w:color w:val="000000"/>
          <w:sz w:val="22"/>
        </w:rPr>
        <w:t>The disciplinary committee, subject to board approval, may propose a consent order at the time of the informal discussion.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481—2037.8</w:t>
      </w:r>
      <w:r>
        <w:rPr>
          <w:rFonts w:ascii="Times New Roman" w:hAnsi="Times New Roman"/>
          <w:b/>
          <w:i w:val="false"/>
          <w:color w:val="000000"/>
          <w:sz w:val="22"/>
        </w:rPr>
        <w:t xml:space="preserve">(272C,543D) </w:t>
      </w:r>
      <w:r>
        <w:rPr>
          <w:rFonts w:ascii="Times New Roman" w:hAnsi="Times New Roman"/>
          <w:b/>
          <w:i w:val="false"/>
          <w:color w:val="000000"/>
          <w:sz w:val="22"/>
        </w:rPr>
        <w:t xml:space="preserve">Peer review committee (PRC). </w:t>
      </w:r>
      <w:r>
        <w:rPr>
          <w:rFonts w:ascii="Times New Roman" w:hAnsi="Times New Roman"/>
          <w:b w:val="false"/>
          <w:i w:val="false"/>
          <w:color w:val="000000"/>
          <w:sz w:val="22"/>
        </w:rPr>
        <w:t>A peer review committee may be appointed by the board to investigate a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481—2037.9</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2037.9(1)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The board may close a complaint file, with or without prior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2037.9(2)</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licensee when a complaint file is closed that informally cautions or educates the licensee about matters that could form the basis for disciplinary action in the future if corrective action is not taken by the licensee. Informal cautionary letters do not constitute disciplinary action, but the board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2037.9(3)</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 Complaint files may also be reopened when a complaint has been previously closed due to the lapse of the licensee’s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481—2037.10</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only be initiated by the affirmative vote of a majority of a quorum of the board at a public meeting. Board members who are disqualified will not be included in determining whether a quorum exists. If, for example, two members of the board are disqualified, three members of the board constitute a quorum of the remaining five board members for purposes of voting on the case in which the two members are disqualified. When three or more members of the board are disqualified or otherwise unavailable for any reason, the executive officer may request the special appointment of one or more substitute board members pursuant to Iowa Code section </w:t>
      </w:r>
      <w:hyperlink r:id="rId5">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481—2037.11</w:t>
      </w:r>
      <w:r>
        <w:rPr>
          <w:rFonts w:ascii="Times New Roman" w:hAnsi="Times New Roman"/>
          <w:b/>
          <w:i w:val="false"/>
          <w:color w:val="000000"/>
          <w:sz w:val="22"/>
        </w:rPr>
        <w:t xml:space="preserve">(543D) </w:t>
      </w:r>
      <w:r>
        <w:rPr>
          <w:rFonts w:ascii="Times New Roman" w:hAnsi="Times New Roman"/>
          <w:b/>
          <w:i w:val="false"/>
          <w:color w:val="000000"/>
          <w:sz w:val="22"/>
        </w:rPr>
        <w:t xml:space="preserve">Decisions. </w:t>
      </w:r>
      <w:r>
        <w:rPr>
          <w:rFonts w:ascii="Times New Roman" w:hAnsi="Times New Roman"/>
          <w:b w:val="false"/>
          <w:i w:val="false"/>
          <w:color w:val="000000"/>
          <w:sz w:val="22"/>
        </w:rPr>
        <w:t>The board will make findings of fact and conclusions of law, and set forth the board’s decision, order, or both in the case. The board’s decision may include, without limitation, any of the following outcomes, either individually or in combination: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Dismissing the charges;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Suspending or revoking the appraiser’s certification or associate’s registration as authorized by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Imposing civil penalties, the amount to be set at the discretion of the board but not exceeding $1,000 per violation. Civil penalties may be imposed for any of the disciplinary violations specified in Iowa Code section </w:t>
      </w:r>
      <w:hyperlink r:id="rId6">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for any repeat offenses;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Imposing a period of probation, either with or without conditions;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Obligating the licensee to undergo reexamination;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Obligating the licensee to take additional professional education, reeducation, or continuing education;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Issuing a citation and a warning;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Imposing desk review of the appraiser’s work product;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Issuing a consent order either with or without conditions;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Imposing consultation with one or more peer reviewers;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Revoking an appraiser’s eligibility to supervise;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Compelling submission of monthly logs;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Placing limitations on a licensee’s practice, such as removing a licensee’s authority to act as an instructor;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Imposing any other form of discipline authorized by a provision of law that the board, in its discretion, believes is warranted under the circumstances of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Mitigating and aggravating factors. </w:t>
      </w:r>
      <w:r>
        <w:rPr>
          <w:rFonts w:ascii="Times New Roman" w:hAnsi="Times New Roman"/>
          <w:b w:val="false"/>
          <w:i w:val="false"/>
          <w:color w:val="000000"/>
          <w:sz w:val="22"/>
        </w:rPr>
        <w:t>Factors the board may consider when determining whether to impose discipline and what type of discipline to impose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2037.12(1)</w:t>
      </w:r>
      <w:r>
        <w:rPr>
          <w:rFonts w:ascii="Times New Roman" w:hAnsi="Times New Roman"/>
          <w:b w:val="false"/>
          <w:i w:val="false"/>
          <w:color w:val="000000"/>
          <w:sz w:val="22"/>
        </w:rPr>
        <w:t> </w:t>
      </w:r>
      <w:r>
        <w:rPr>
          <w:rFonts w:ascii="Times New Roman" w:hAnsi="Times New Roman"/>
          <w:b w:val="false"/>
          <w:i w:val="false"/>
          <w:color w:val="000000"/>
          <w:sz w:val="22"/>
        </w:rPr>
        <w:t>History and background of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was a registered associate appraiser or a certified appraiser at the time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disciplinary history or cautionary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Length of certification or registration at the time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Disciplinary history of current or prior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Degree of cooperation with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Extent of self-initiated reform or remedial action after the date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volume or geographic range of the respondent’s practice is, or was at the time of the violation,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practiced with a lapsed, inactive, retired, suspended, revoked, or surrendered certificate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2037.12(2)</w:t>
      </w:r>
      <w:r>
        <w:rPr>
          <w:rFonts w:ascii="Times New Roman" w:hAnsi="Times New Roman"/>
          <w:b w:val="false"/>
          <w:i w:val="false"/>
          <w:color w:val="000000"/>
          <w:sz w:val="22"/>
        </w:rPr>
        <w:t> </w:t>
      </w:r>
      <w:r>
        <w:rPr>
          <w:rFonts w:ascii="Times New Roman" w:hAnsi="Times New Roman"/>
          <w:b w:val="false"/>
          <w:i w:val="false"/>
          <w:color w:val="000000"/>
          <w:sz w:val="22"/>
        </w:rPr>
        <w:t>Nature of violations,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Length of time since the date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isolated or recurring.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there are multiple violations or appraisals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in the nature of an error or situational carelessness or neglect, or reflects a more fundamental lack of familiarity with applicable appraisal methodology or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Indicia of bad faith, false statements, deceptive practices, or willful and intentional acts, whether within the circumstances of the violation or in the course of the board’s investigation or disciplinary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improper advocacy or other violation of the USPAP ethics rule or of Iowa Code section </w:t>
      </w:r>
      <w:hyperlink r:id="rId8">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543D.18A(1)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or standard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practiced outside the scope of practice authorized by respondent’s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relates to the respondent’s supervisory role, the respondent’s individual appraisal practice,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2037.12(3)</w:t>
      </w:r>
      <w:r>
        <w:rPr>
          <w:rFonts w:ascii="Times New Roman" w:hAnsi="Times New Roman"/>
          <w:b w:val="false"/>
          <w:i w:val="false"/>
          <w:color w:val="000000"/>
          <w:sz w:val="22"/>
        </w:rPr>
        <w:t> </w:t>
      </w:r>
      <w:r>
        <w:rPr>
          <w:rFonts w:ascii="Times New Roman" w:hAnsi="Times New Roman"/>
          <w:b w:val="false"/>
          <w:i w:val="false"/>
          <w:color w:val="000000"/>
          <w:sz w:val="22"/>
        </w:rPr>
        <w:t>Interest of the public,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Degree of financial or other harm to a client, consumer, lending institution,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Risk of harm, whether or not the violation caused actual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Economic or other benefit gained by respondent or by others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Deterrent impact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issued a corrected appraisal report when warranted.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voluntary surrender is considered disciplinary action and will be published in the same manner as is applicable to any other form of disciplinary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following provisions apply to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2037.14(1)</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applicant’s request to appear informally before the board prior to the issuance of a notice of hearing on an application to reinstate if the applicant requests an informal appearance in the application and agrees not to seek to disqualify, on the ground of personal investigation,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2037.14(2)</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10">
        <w:r>
          <w:rPr>
            <w:rStyle w:val="Hyperlink"/>
            <w:rFonts w:ascii="Times New Roman" w:hAnsi="Times New Roman"/>
            <w:b w:val="false"/>
            <w:i w:val="false"/>
            <w:color w:val="000000"/>
            <w:sz w:val="22"/>
          </w:rPr>
          <w:t>481—2037.14</w:t>
        </w:r>
      </w:hyperlink>
      <w:r>
        <w:rPr>
          <w:rFonts w:ascii="Times New Roman" w:hAnsi="Times New Roman"/>
          <w:b w:val="false"/>
          <w:i w:val="false"/>
          <w:color w:val="000000"/>
          <w:sz w:val="22"/>
        </w:rPr>
        <w:t>(272C,543D).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2037.14(3)</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placed limitations on the license, denied license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 and national criminal history check may be performed on any applicant applying to reinstate registration or credential consistent with Iowa Code section </w:t>
      </w:r>
      <w:hyperlink r:id="rId11">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 xml:space="preserve"> and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7844C</w:t>
      </w:r>
      <w:r>
        <w:rPr>
          <w:rFonts w:ascii="Times New Roman" w:hAnsi="Times New Roman"/>
          <w:b w:val="false"/>
          <w:i w:val="false"/>
          <w:color w:val="000000"/>
          <w:sz w:val="21"/>
        </w:rPr>
        <w:t xml:space="preserve"> (Notice ARC 7264C,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1.pdf" Type="http://schemas.openxmlformats.org/officeDocument/2006/relationships/hyperlink" Id="rId5"/>
    <Relationship TargetMode="External" Target="https://www.legis.iowa.gov/docs/ico/chapter/543D.17.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3D.18.pdf" Type="http://schemas.openxmlformats.org/officeDocument/2006/relationships/hyperlink" Id="rId8"/>
    <Relationship TargetMode="External" Target="https://www.legis.iowa.gov/docs/ico/chapter/543D.18A.pdf" Type="http://schemas.openxmlformats.org/officeDocument/2006/relationships/hyperlink" Id="rId9"/>
    <Relationship TargetMode="External" Target="https://www.legis.iowa.gov/docs/iac/rule/481.2037.14.pdf" Type="http://schemas.openxmlformats.org/officeDocument/2006/relationships/hyperlink" Id="rId10"/>
    <Relationship TargetMode="External" Target="https://www.legis.iowa.gov/docs/ico/chapter/543D.22.pdf" Type="http://schemas.openxmlformats.org/officeDocument/2006/relationships/hyperlink" Id="rId11"/>
    <Relationship TargetMode="External" Target="https://www.legis.iowa.gov/docs/ico/chapter/543D.5.pdf" Type="http://schemas.openxmlformats.org/officeDocument/2006/relationships/hyperlink" Id="rId12"/>
    <Relationship TargetMode="External" Target="https://www.legis.iowa.gov/docs/ico/chapter/543D.17.pdf" Type="http://schemas.openxmlformats.org/officeDocument/2006/relationships/hyperlink" Id="rId13"/>
    <Relationship TargetMode="External" Target="https://www.legis.iowa.gov/docs/ico/chapter/543D.18.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