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2036</w:t>
      </w:r>
    </w:p>
    <w:p>
      <w:pPr>
        <w:spacing w:before="0" w:after="0"/>
        <w:ind w:left="120"/>
        <w:jc w:val="center"/>
      </w:pPr>
      <w:r>
        <w:rPr>
          <w:rFonts w:ascii="Times New Roman" w:hAnsi="Times New Roman"/>
          <w:b w:val="false"/>
          <w:i w:val="false"/>
          <w:color w:val="000000"/>
          <w:sz w:val="21"/>
        </w:rPr>
        <w:t>DISCIPLINARY ACTIONS AGAINST CERTIFIED AND</w:t>
      </w:r>
      <w:r>
        <w:br/>
      </w:r>
      <w:r>
        <w:rPr>
          <w:rFonts w:ascii="Times New Roman" w:hAnsi="Times New Roman"/>
          <w:b w:val="false"/>
          <w:i w:val="false"/>
          <w:color w:val="000000"/>
          <w:sz w:val="21"/>
        </w:rPr>
        <w:t>ASSOCIATE APPRAISERS</w:t>
      </w:r>
    </w:p>
    <w:p>
      <w:pPr>
        <w:spacing w:before="0" w:after="0"/>
        <w:ind w:left="120"/>
        <w:jc w:val="center"/>
      </w:pPr>
      <w:r>
        <w:rPr>
          <w:rFonts w:ascii="Times New Roman" w:hAnsi="Times New Roman"/>
          <w:b w:val="false"/>
          <w:i w:val="false"/>
          <w:color w:val="000000"/>
          <w:sz w:val="14"/>
        </w:rPr>
        <w:t>[Prior to 4/17/24, see 193F—Chapter 7]</w:t>
      </w:r>
    </w:p>
    <w:p>
      <w:pPr>
        <w:spacing w:before="0" w:after="0"/>
        <w:ind w:left="120"/>
        <w:jc w:val="center"/>
      </w:pPr>
      <w:r>
        <w:rPr>
          <w:rFonts w:ascii="Times New Roman" w:hAnsi="Times New Roman"/>
          <w:b w:val="false"/>
          <w:i w:val="false"/>
          <w:color w:val="000000"/>
          <w:sz w:val="14"/>
        </w:rPr>
        <w:t>[Prior to 6/10/26, see Real Estate Appraiser Examining Board[193F]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481—2036.1</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is empowered to regulate the real estate appraiser profession for the protection and well-being of the public trust. To perform these functions, the board is broadly vested with authority to review and investigate alleged acts or omissions of applicants and licensees and to address disciplinary concerns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481—2036.2</w:t>
      </w:r>
      <w:r>
        <w:rPr>
          <w:rFonts w:ascii="Times New Roman" w:hAnsi="Times New Roman"/>
          <w:b/>
          <w:i w:val="false"/>
          <w:color w:val="000000"/>
          <w:sz w:val="22"/>
        </w:rPr>
        <w:t xml:space="preserve">(543D) </w:t>
      </w:r>
      <w:r>
        <w:rPr>
          <w:rFonts w:ascii="Times New Roman" w:hAnsi="Times New Roman"/>
          <w:b/>
          <w:i w:val="false"/>
          <w:color w:val="000000"/>
          <w:sz w:val="22"/>
        </w:rPr>
        <w:t xml:space="preserve">Standards of practice. </w:t>
      </w:r>
      <w:r>
        <w:rPr>
          <w:rFonts w:ascii="Times New Roman" w:hAnsi="Times New Roman"/>
          <w:b w:val="false"/>
          <w:i w:val="false"/>
          <w:color w:val="000000"/>
          <w:sz w:val="22"/>
        </w:rPr>
        <w:t>All registered associate appraisers and certified real estate appraisers will comply with the USPAP edition applicable to each appraisal assignment.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associate appraiser or a certified real estate appraiser based on any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w:t>
      </w:r>
      <w:r>
        <w:rPr>
          <w:rFonts w:ascii="Times New Roman" w:hAnsi="Times New Roman"/>
          <w:b w:val="false"/>
          <w:i w:val="false"/>
          <w:color w:val="000000"/>
          <w:sz w:val="22"/>
        </w:rPr>
        <w:t> </w:t>
      </w:r>
      <w:r>
        <w:rPr>
          <w:rFonts w:ascii="Times New Roman" w:hAnsi="Times New Roman"/>
          <w:b w:val="false"/>
          <w:i/>
          <w:color w:val="000000"/>
          <w:sz w:val="22"/>
        </w:rPr>
        <w:t xml:space="preserve">Code violations. </w:t>
      </w:r>
      <w:r>
        <w:rPr>
          <w:rFonts w:ascii="Times New Roman" w:hAnsi="Times New Roman"/>
          <w:b w:val="false"/>
          <w:i w:val="false"/>
          <w:color w:val="000000"/>
          <w:sz w:val="22"/>
        </w:rPr>
        <w:t>Any violation of an Iowa Code provision that authorizes imposition of licensee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diploma, course certificate, identification, credential, license, registration, certification, examination report, affidavit, or other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 for initial or renewal registration or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registered associate appraisers or certified real property appraisers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USPAP standards, or other act or omission that demonstrates an inability to safely practice in a manner protective of the public’s interest, including any violation of USPAP’s competency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real property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registrant or certificate holder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or appraisal logs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Making any false or misleading statement in support of an application for registration or certification submitted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registration, certificate or registration number, or signature of another or of a fictitious registrant or certificate holder, or otherwise falsely impersonating a certified appraiser or registered associate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associate appraiser or certified appraiser when one’s registration or certificate has been suspended, revoked, surrendered, or placed on inactive or retired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registrant’s or certificate holder’s registration or certificate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Misrepresenting a specialized service as an appraisal assignment in violation of Iowa Code section </w:t>
      </w:r>
      <w:hyperlink r:id="rId5">
        <w:r>
          <w:rPr>
            <w:rStyle w:val="Hyperlink"/>
            <w:rFonts w:ascii="Times New Roman" w:hAnsi="Times New Roman"/>
            <w:b w:val="false"/>
            <w:i w:val="false"/>
            <w:color w:val="000000"/>
            <w:sz w:val="22"/>
          </w:rPr>
          <w:t>543D.18(3)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Registrants and certificate holders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real property appraising or if such behavior otherwise provides a reasonable basis for the board to conclude that such behavior within the practice of real estate appraising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 or otherwise violating the public trust, as provided in USPAP’s ethics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any unlawful activity for which a civil penalty can be imposed under rule </w:t>
      </w:r>
      <w:hyperlink r:id="rId7">
        <w:r>
          <w:rPr>
            <w:rStyle w:val="Hyperlink"/>
            <w:rFonts w:ascii="Times New Roman" w:hAnsi="Times New Roman"/>
            <w:b w:val="false"/>
            <w:i w:val="false"/>
            <w:color w:val="000000"/>
            <w:sz w:val="22"/>
          </w:rPr>
          <w:t>481—2042.2</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registered associate appraiser or certified real property appraiser without satisfying the continuing education for registration or certificate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Acting as a supervisor without proper qualification, as provided in rule </w:t>
      </w:r>
      <w:hyperlink r:id="rId8">
        <w:r>
          <w:rPr>
            <w:rStyle w:val="Hyperlink"/>
            <w:rFonts w:ascii="Times New Roman" w:hAnsi="Times New Roman"/>
            <w:b w:val="false"/>
            <w:i w:val="false"/>
            <w:color w:val="000000"/>
            <w:sz w:val="22"/>
          </w:rPr>
          <w:t>481—2034.7</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registrant’s or certificate holder’s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9">
        <w:r>
          <w:rPr>
            <w:rStyle w:val="Hyperlink"/>
            <w:rFonts w:ascii="Times New Roman" w:hAnsi="Times New Roman"/>
            <w:b w:val="false"/>
            <w:i w:val="false"/>
            <w:color w:val="000000"/>
            <w:sz w:val="22"/>
          </w:rPr>
          <w:t>272C.3(2)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meet the minimum qualifications for registration as an associate appraiser or certification as a certified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certification, or outside the scope of a supervisor’s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2036.3(6)</w:t>
      </w:r>
      <w:r>
        <w:rPr>
          <w:rFonts w:ascii="Times New Roman" w:hAnsi="Times New Roman"/>
          <w:b w:val="false"/>
          <w:i w:val="false"/>
          <w:color w:val="000000"/>
          <w:sz w:val="22"/>
        </w:rPr>
        <w:t> </w:t>
      </w:r>
      <w:r>
        <w:rPr>
          <w:rFonts w:ascii="Times New Roman" w:hAnsi="Times New Roman"/>
          <w:b w:val="false"/>
          <w:i/>
          <w:color w:val="000000"/>
          <w:sz w:val="22"/>
        </w:rPr>
        <w:t xml:space="preserve">Negligence by the registrant or certificate holder in the practice of the profession. </w:t>
      </w:r>
      <w:r>
        <w:rPr>
          <w:rFonts w:ascii="Times New Roman" w:hAnsi="Times New Roman"/>
          <w:b w:val="false"/>
          <w:i w:val="false"/>
          <w:color w:val="000000"/>
          <w:sz w:val="22"/>
        </w:rPr>
        <w:t>Negligence by the registrant or certificate holder in the practice of the profession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to or supervision of associate appraisers, or other employees, agents, or persons, in developing an appraisal, preparing an appraisal report, or communicating an appraisal,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or the United States, which relates to the practice of real estate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A stay by an appellate court will not negate this obligation;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0">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1">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(limitations on persons assisting in the development or reporting of a certified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retain records as provided in Iowa Code section </w:t>
      </w:r>
      <w:hyperlink r:id="rId12">
        <w:r>
          <w:rPr>
            <w:rStyle w:val="Hyperlink"/>
            <w:rFonts w:ascii="Times New Roman" w:hAnsi="Times New Roman"/>
            <w:b w:val="false"/>
            <w:i w:val="false"/>
            <w:color w:val="000000"/>
            <w:sz w:val="22"/>
          </w:rPr>
          <w:t>543D.19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registrant or certificate holder or an applicant for a registration or certificate to report in writing to the board any revocation, suspension, or other disciplinary action taken by a licensing authority, in Iowa or any other jurisdiction, within 30 calendar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registrant or certificate holder or an applicant for a registration or certificate to report, within 30 calendar days of the action, any voluntary surrender of a professional license to resolve a pending disciplinary investigation or action,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calendar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calendar days after occurrence of any adverse judgment in a professional or occupational malpractice action, or settlement of any claim involving malpractice,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registrant or certificate holder to the board for any violation listed in these rules, pursuant to Iowa Code section </w:t>
      </w:r>
      <w:hyperlink r:id="rId1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promptly after the registrant or certificate holder becomes aware that a reportable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the appraiser’s principal place of business and any change in the appraiser’s principal place of business within 30 calendar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associate appraiser or supervisor to timely respond to board requests for information, as provided in </w:t>
      </w:r>
      <w:hyperlink r:id="rId16">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 in this state or any other jurisdiction, of any felony offense that directly relates to the profession, or of any crime that is substantially related to the qualifications, functions, duties or practice of a person developing or communicating real estate appraisals to others. Any crime involving deception, dishonesty or disregard for the safety of others will be deemed directly related to the practice of real property appraising. A certified copy of the final order or judgment of conviction or plea of guilty in this state or in another jurisdiction will be conclusive evidence of the conviction. “Conviction” includes any plea of guilty or nolo contendere, including Alford pleas, or finding of guilt whether or not judgment or sentence is deferred, withheld, or not entered, and whether or not the conviction is on appeal. If such conviction is overturned or reversed by a court of last resort, discipline by the board based solely on the conviction will be vacated. A conviction qualifies as a felony offense if the offense is designated as a felony in the jurisdiction in which the conviction occurred, or if the offense is committed in this state, the offense would be a felony, without regard to its designation elsewhere. An offense directly relates to the profession if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actions taken in furtherance of an offense are actions customarily performed within the scope of practice of the profession,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an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a conviction may be grounds for revocation or suspension only if an unreasonable risk to public safety exists because the offense directly relates to the duties and responsibilities of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137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7843C</w:t>
      </w:r>
      <w:r>
        <w:rPr>
          <w:rFonts w:ascii="Times New Roman" w:hAnsi="Times New Roman"/>
          <w:b w:val="false"/>
          <w:i w:val="false"/>
          <w:color w:val="000000"/>
          <w:sz w:val="21"/>
        </w:rPr>
        <w:t xml:space="preserve"> (Notice ARC 7263C,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8.pdf" Type="http://schemas.openxmlformats.org/officeDocument/2006/relationships/hyperlink" Id="rId5"/>
    <Relationship TargetMode="External" Target="https://www.legis.iowa.gov/docs/ico/chapter/543D.18.pdf" Type="http://schemas.openxmlformats.org/officeDocument/2006/relationships/hyperlink" Id="rId6"/>
    <Relationship TargetMode="External" Target="https://www.legis.iowa.gov/docs/iac/rule/481.2042.2.pdf" Type="http://schemas.openxmlformats.org/officeDocument/2006/relationships/hyperlink" Id="rId7"/>
    <Relationship TargetMode="External" Target="https://www.legis.iowa.gov/docs/iac/rule/481.2034.7.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543D.18.pdf" Type="http://schemas.openxmlformats.org/officeDocument/2006/relationships/hyperlink" Id="rId10"/>
    <Relationship TargetMode="External" Target="https://www.legis.iowa.gov/docs/ico/chapter/543D.20.pdf" Type="http://schemas.openxmlformats.org/officeDocument/2006/relationships/hyperlink" Id="rId11"/>
    <Relationship TargetMode="External" Target="https://www.legis.iowa.gov/docs/ico/chapter/543D.19.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ac/chapter/481.203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D.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