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2034</w:t>
      </w:r>
    </w:p>
    <w:p>
      <w:pPr>
        <w:spacing w:before="0" w:after="0"/>
        <w:ind w:left="120"/>
        <w:jc w:val="center"/>
      </w:pPr>
      <w:r>
        <w:rPr>
          <w:rFonts w:ascii="Times New Roman" w:hAnsi="Times New Roman"/>
          <w:b w:val="false"/>
          <w:i w:val="false"/>
          <w:color w:val="000000"/>
          <w:sz w:val="21"/>
        </w:rPr>
        <w:t>ASSOCIATE REAL ESTATE APPRAISER</w:t>
      </w:r>
    </w:p>
    <w:p>
      <w:pPr>
        <w:spacing w:before="0" w:after="0"/>
        <w:ind w:left="120"/>
        <w:jc w:val="center"/>
      </w:pPr>
      <w:r>
        <w:rPr>
          <w:rFonts w:ascii="Times New Roman" w:hAnsi="Times New Roman"/>
          <w:b w:val="false"/>
          <w:i w:val="false"/>
          <w:color w:val="000000"/>
          <w:sz w:val="14"/>
        </w:rPr>
        <w:t>[Prior to 2/20/02, see rule 193F—3.6(543D)]</w:t>
      </w:r>
    </w:p>
    <w:p>
      <w:pPr>
        <w:spacing w:before="0" w:after="0"/>
        <w:ind w:left="120"/>
        <w:jc w:val="center"/>
      </w:pPr>
      <w:r>
        <w:rPr>
          <w:rFonts w:ascii="Times New Roman" w:hAnsi="Times New Roman"/>
          <w:b w:val="false"/>
          <w:i w:val="false"/>
          <w:color w:val="000000"/>
          <w:sz w:val="14"/>
        </w:rPr>
        <w:t>[Prior to 6/10/26, see Real Estate Appraiser Examining Board[193F] Ch 4]</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5/22/29</w:t>
      </w:r>
    </w:p>
    <w:p>
      <w:pPr>
        <w:spacing w:before="0" w:after="0"/>
        <w:ind w:left="120"/>
        <w:jc w:val="both"/>
      </w:pPr>
      <w:r>
        <w:rPr>
          <w:rFonts w:ascii="Times New Roman" w:hAnsi="Times New Roman"/>
          <w:b/>
          <w:i w:val="false"/>
          <w:color w:val="000000"/>
          <w:sz w:val="22"/>
        </w:rPr>
        <w:t>481—2034.1</w:t>
      </w:r>
      <w:r>
        <w:rPr>
          <w:rFonts w:ascii="Times New Roman" w:hAnsi="Times New Roman"/>
          <w:b/>
          <w:i w:val="false"/>
          <w:color w:val="000000"/>
          <w:sz w:val="22"/>
        </w:rPr>
        <w:t xml:space="preserve">(543D) </w:t>
      </w:r>
      <w:r>
        <w:rPr>
          <w:rFonts w:ascii="Times New Roman" w:hAnsi="Times New Roman"/>
          <w:b/>
          <w:i w:val="false"/>
          <w:color w:val="000000"/>
          <w:sz w:val="22"/>
        </w:rPr>
        <w:t xml:space="preserve">Qualifications to register as an associate appraiser.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2034.1(1)</w:t>
      </w:r>
      <w:r>
        <w:rPr>
          <w:rFonts w:ascii="Times New Roman" w:hAnsi="Times New Roman"/>
          <w:b w:val="false"/>
          <w:i w:val="false"/>
          <w:color w:val="000000"/>
          <w:sz w:val="22"/>
        </w:rPr>
        <w:t> </w:t>
      </w:r>
      <w:r>
        <w:rPr>
          <w:rFonts w:ascii="Times New Roman" w:hAnsi="Times New Roman"/>
          <w:b w:val="false"/>
          <w:i/>
          <w:color w:val="000000"/>
          <w:sz w:val="22"/>
        </w:rPr>
        <w:t xml:space="preserve">Education. </w:t>
      </w:r>
      <w:r>
        <w:rPr>
          <w:rFonts w:ascii="Times New Roman" w:hAnsi="Times New Roman"/>
          <w:b w:val="false"/>
          <w:i w:val="false"/>
          <w:color w:val="000000"/>
          <w:sz w:val="22"/>
        </w:rPr>
        <w:t xml:space="preserve">A person applying for registration as an associate appraiser will, at a minimum, satisfactorily complete all AQB-approved, qualifying education courses needed under the AQB criteria specifying educational standards applicable for registration as an associate appraiser.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2034.1(2)</w:t>
      </w:r>
      <w:r>
        <w:rPr>
          <w:rFonts w:ascii="Times New Roman" w:hAnsi="Times New Roman"/>
          <w:b w:val="false"/>
          <w:i w:val="false"/>
          <w:color w:val="000000"/>
          <w:sz w:val="22"/>
        </w:rPr>
        <w:t> </w:t>
      </w:r>
      <w:r>
        <w:rPr>
          <w:rFonts w:ascii="Times New Roman" w:hAnsi="Times New Roman"/>
          <w:b w:val="false"/>
          <w:i/>
          <w:color w:val="000000"/>
          <w:sz w:val="22"/>
        </w:rPr>
        <w:t xml:space="preserve">Background check. </w:t>
      </w:r>
      <w:r>
        <w:rPr>
          <w:rFonts w:ascii="Times New Roman" w:hAnsi="Times New Roman"/>
          <w:b w:val="false"/>
          <w:i w:val="false"/>
          <w:color w:val="000000"/>
          <w:sz w:val="22"/>
        </w:rPr>
        <w:t>A state and national criminal history check will be performed on any new associate appraiser applicant. The applicant will authorize release of the results of the criminal history check to the board. If the criminal history check was not completed within 180 calendar days prior to the date the license application is received by the board, the board may perform a new state and national criminal history check or may reject and return the application to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2034.1(3)</w:t>
      </w:r>
      <w:r>
        <w:rPr>
          <w:rFonts w:ascii="Times New Roman" w:hAnsi="Times New Roman"/>
          <w:b w:val="false"/>
          <w:i w:val="false"/>
          <w:color w:val="000000"/>
          <w:sz w:val="22"/>
        </w:rPr>
        <w:t> </w:t>
      </w:r>
      <w:r>
        <w:rPr>
          <w:rFonts w:ascii="Times New Roman" w:hAnsi="Times New Roman"/>
          <w:b w:val="false"/>
          <w:i/>
          <w:color w:val="000000"/>
          <w:sz w:val="22"/>
        </w:rPr>
        <w:t xml:space="preserve">Application process. </w:t>
      </w:r>
      <w:r>
        <w:rPr>
          <w:rFonts w:ascii="Times New Roman" w:hAnsi="Times New Roman"/>
          <w:b w:val="false"/>
          <w:i w:val="false"/>
          <w:color w:val="000000"/>
          <w:sz w:val="22"/>
        </w:rPr>
        <w:t xml:space="preserve">After completing the AQB associate appraiser obligations, a person applying as an associate appraiser can then access the application through the board’s online system. A sufficient application within the meaning of Iowa Code section </w:t>
      </w:r>
      <w:hyperlink r:id="rId5">
        <w:r>
          <w:rPr>
            <w:rStyle w:val="Hyperlink"/>
            <w:rFonts w:ascii="Times New Roman" w:hAnsi="Times New Roman"/>
            <w:b w:val="false"/>
            <w:i w:val="false"/>
            <w:color w:val="000000"/>
            <w:sz w:val="22"/>
          </w:rPr>
          <w:t>17A.18(2)</w:t>
        </w:r>
      </w:hyperlink>
      <w:r>
        <w:rPr>
          <w:rFonts w:ascii="Times New Roman" w:hAnsi="Times New Roman"/>
          <w:b w:val="false"/>
          <w:i w:val="false"/>
          <w:color w:val="000000"/>
          <w:sz w:val="22"/>
        </w:rPr>
        <w:t xml:space="preserve"> will include all information as outlined in the board’s online system and be accompanied by the applicable fee.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2034.1(4)</w:t>
      </w:r>
      <w:r>
        <w:rPr>
          <w:rFonts w:ascii="Times New Roman" w:hAnsi="Times New Roman"/>
          <w:b w:val="false"/>
          <w:i w:val="false"/>
          <w:color w:val="000000"/>
          <w:sz w:val="22"/>
        </w:rPr>
        <w:t> </w:t>
      </w:r>
      <w:r>
        <w:rPr>
          <w:rFonts w:ascii="Times New Roman" w:hAnsi="Times New Roman"/>
          <w:b w:val="false"/>
          <w:i/>
          <w:color w:val="000000"/>
          <w:sz w:val="22"/>
        </w:rPr>
        <w:t xml:space="preserve">Registration denial. </w:t>
      </w:r>
      <w:r>
        <w:rPr>
          <w:rFonts w:ascii="Times New Roman" w:hAnsi="Times New Roman"/>
          <w:b w:val="false"/>
          <w:i w:val="false"/>
          <w:color w:val="000000"/>
          <w:sz w:val="22"/>
        </w:rPr>
        <w:t xml:space="preserve">The board may deny an application for registration as an associate appraiser on any ground identified in </w:t>
      </w:r>
      <w:hyperlink r:id="rId6">
        <w:r>
          <w:rPr>
            <w:rStyle w:val="Hyperlink"/>
            <w:rFonts w:ascii="Times New Roman" w:hAnsi="Times New Roman"/>
            <w:b w:val="false"/>
            <w:i w:val="false"/>
            <w:color w:val="000000"/>
            <w:sz w:val="22"/>
          </w:rPr>
          <w:t>481—subrule 2033.4(1)</w:t>
        </w:r>
      </w:hyperlink>
      <w:r>
        <w:rPr>
          <w:rFonts w:ascii="Times New Roman" w:hAnsi="Times New Roman"/>
          <w:b w:val="false"/>
          <w:i w:val="false"/>
          <w:color w:val="000000"/>
          <w:sz w:val="22"/>
        </w:rPr>
        <w:t xml:space="preserve"> or on any ground upon which the board may impose discipline against an associate appraiser, as provided in </w:t>
      </w:r>
      <w:hyperlink r:id="rId7">
        <w:r>
          <w:rPr>
            <w:rStyle w:val="Hyperlink"/>
            <w:rFonts w:ascii="Times New Roman" w:hAnsi="Times New Roman"/>
            <w:b w:val="false"/>
            <w:i w:val="false"/>
            <w:color w:val="000000"/>
            <w:sz w:val="22"/>
          </w:rPr>
          <w:t>481—Chapter 2036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7840C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481—2034.2</w:t>
      </w:r>
      <w:r>
        <w:rPr>
          <w:rFonts w:ascii="Times New Roman" w:hAnsi="Times New Roman"/>
          <w:b/>
          <w:i w:val="false"/>
          <w:color w:val="000000"/>
          <w:sz w:val="22"/>
        </w:rPr>
        <w:t xml:space="preserve">(543D) </w:t>
      </w:r>
      <w:r>
        <w:rPr>
          <w:rFonts w:ascii="Times New Roman" w:hAnsi="Times New Roman"/>
          <w:b/>
          <w:i w:val="false"/>
          <w:color w:val="000000"/>
          <w:sz w:val="22"/>
        </w:rPr>
        <w:t xml:space="preserve">Supervision of associate appraisers.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2034.2(1)</w:t>
      </w:r>
      <w:r>
        <w:rPr>
          <w:rFonts w:ascii="Times New Roman" w:hAnsi="Times New Roman"/>
          <w:b w:val="false"/>
          <w:i w:val="false"/>
          <w:color w:val="000000"/>
          <w:sz w:val="22"/>
        </w:rPr>
        <w:t> </w:t>
      </w:r>
      <w:r>
        <w:rPr>
          <w:rFonts w:ascii="Times New Roman" w:hAnsi="Times New Roman"/>
          <w:b w:val="false"/>
          <w:i/>
          <w:color w:val="000000"/>
          <w:sz w:val="22"/>
        </w:rPr>
        <w:t xml:space="preserve">Direct supervision. </w:t>
      </w:r>
      <w:r>
        <w:rPr>
          <w:rFonts w:ascii="Times New Roman" w:hAnsi="Times New Roman"/>
          <w:b w:val="false"/>
          <w:i w:val="false"/>
          <w:color w:val="000000"/>
          <w:sz w:val="22"/>
        </w:rPr>
        <w:t>An associate appraiser is subject to the direct supervision obligations set by the AQB criteria.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2034.2(2)</w:t>
      </w:r>
      <w:r>
        <w:rPr>
          <w:rFonts w:ascii="Times New Roman" w:hAnsi="Times New Roman"/>
          <w:b w:val="false"/>
          <w:i w:val="false"/>
          <w:color w:val="000000"/>
          <w:sz w:val="22"/>
        </w:rPr>
        <w:t> </w:t>
      </w:r>
      <w:r>
        <w:rPr>
          <w:rFonts w:ascii="Times New Roman" w:hAnsi="Times New Roman"/>
          <w:b w:val="false"/>
          <w:i/>
          <w:color w:val="000000"/>
          <w:sz w:val="22"/>
        </w:rPr>
        <w:t xml:space="preserve">Supervisor registration. </w:t>
      </w:r>
      <w:r>
        <w:rPr>
          <w:rFonts w:ascii="Times New Roman" w:hAnsi="Times New Roman"/>
          <w:b w:val="false"/>
          <w:i w:val="false"/>
          <w:color w:val="000000"/>
          <w:sz w:val="22"/>
        </w:rPr>
        <w:t>An associate appraiser, other than a PAREA associate, will identify all supervisors by whom the associate will be supervised through the board’s online system and will promptly notify the board in the event of any change in supervisors. An associate appraiser, other than a PAREA associate, who does not have at least one approved active supervisor meeting the supervision obligations will be placed in inactive status until such time as the associate finds a supervisor. Associate appraisers wishing to maintain an inactive license have to continue to renew on a biennial basis in accordance with rule 481— 2034.3(543D).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2034.2(3)</w:t>
      </w:r>
      <w:r>
        <w:rPr>
          <w:rFonts w:ascii="Times New Roman" w:hAnsi="Times New Roman"/>
          <w:b w:val="false"/>
          <w:i w:val="false"/>
          <w:color w:val="000000"/>
          <w:sz w:val="22"/>
        </w:rPr>
        <w:t> </w:t>
      </w:r>
      <w:r>
        <w:rPr>
          <w:rFonts w:ascii="Times New Roman" w:hAnsi="Times New Roman"/>
          <w:b w:val="false"/>
          <w:i/>
          <w:color w:val="000000"/>
          <w:sz w:val="22"/>
        </w:rPr>
        <w:t xml:space="preserve">Scope of practice. </w:t>
      </w:r>
      <w:r>
        <w:rPr>
          <w:rFonts w:ascii="Times New Roman" w:hAnsi="Times New Roman"/>
          <w:b w:val="false"/>
          <w:i w:val="false"/>
          <w:color w:val="000000"/>
          <w:sz w:val="22"/>
        </w:rPr>
        <w:t>The scope of practice for an associate appraiser is set by the AQB criteria.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2034.2(4)</w:t>
      </w:r>
      <w:r>
        <w:rPr>
          <w:rFonts w:ascii="Times New Roman" w:hAnsi="Times New Roman"/>
          <w:b w:val="false"/>
          <w:i w:val="false"/>
          <w:color w:val="000000"/>
          <w:sz w:val="22"/>
        </w:rPr>
        <w:t> </w:t>
      </w:r>
      <w:r>
        <w:rPr>
          <w:rFonts w:ascii="Times New Roman" w:hAnsi="Times New Roman"/>
          <w:b w:val="false"/>
          <w:i/>
          <w:color w:val="000000"/>
          <w:sz w:val="22"/>
        </w:rPr>
        <w:t xml:space="preserve">Logs. </w:t>
      </w:r>
      <w:r>
        <w:rPr>
          <w:rFonts w:ascii="Times New Roman" w:hAnsi="Times New Roman"/>
          <w:b w:val="false"/>
          <w:i w:val="false"/>
          <w:color w:val="000000"/>
          <w:sz w:val="22"/>
        </w:rPr>
        <w:t>An associate appraiser will maintain an appraisal experience log consistent with the AQB criteria.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7840C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481—2034.3</w:t>
      </w:r>
      <w:r>
        <w:rPr>
          <w:rFonts w:ascii="Times New Roman" w:hAnsi="Times New Roman"/>
          <w:b/>
          <w:i w:val="false"/>
          <w:color w:val="000000"/>
          <w:sz w:val="22"/>
        </w:rPr>
        <w:t xml:space="preserve">(543D) </w:t>
      </w:r>
      <w:r>
        <w:rPr>
          <w:rFonts w:ascii="Times New Roman" w:hAnsi="Times New Roman"/>
          <w:b/>
          <w:i w:val="false"/>
          <w:color w:val="000000"/>
          <w:sz w:val="22"/>
        </w:rPr>
        <w:t xml:space="preserve">Renewal of associate appraiser registration. </w:t>
      </w:r>
      <w:r>
        <w:rPr>
          <w:rFonts w:ascii="Times New Roman" w:hAnsi="Times New Roman"/>
          <w:b w:val="false"/>
          <w:i w:val="false"/>
          <w:color w:val="000000"/>
          <w:sz w:val="22"/>
        </w:rPr>
        <w:t xml:space="preserve">An associate appraiser registration has to be renewed on a biennial basis as more fully described in </w:t>
      </w:r>
      <w:hyperlink r:id="rId8">
        <w:r>
          <w:rPr>
            <w:rStyle w:val="Hyperlink"/>
            <w:rFonts w:ascii="Times New Roman" w:hAnsi="Times New Roman"/>
            <w:b w:val="false"/>
            <w:i w:val="false"/>
            <w:color w:val="000000"/>
            <w:sz w:val="22"/>
          </w:rPr>
          <w:t>481—Chapter 2038</w:t>
        </w:r>
      </w:hyperlink>
      <w:r>
        <w:rPr>
          <w:rFonts w:ascii="Times New Roman" w:hAnsi="Times New Roman"/>
          <w:b w:val="false"/>
          <w:i w:val="false"/>
          <w:color w:val="000000"/>
          <w:sz w:val="22"/>
        </w:rPr>
        <w:t xml:space="preserve">. An associate appraiser is subject to the same continuing education obligations applicable to a certified appraiser as a precondition for renewal. Continuing education obligations are outlined in </w:t>
      </w:r>
      <w:hyperlink r:id="rId9">
        <w:r>
          <w:rPr>
            <w:rStyle w:val="Hyperlink"/>
            <w:rFonts w:ascii="Times New Roman" w:hAnsi="Times New Roman"/>
            <w:b w:val="false"/>
            <w:i w:val="false"/>
            <w:color w:val="000000"/>
            <w:sz w:val="22"/>
          </w:rPr>
          <w:t>481—Chapter 2040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7840C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481—2034.4</w:t>
      </w:r>
      <w:r>
        <w:rPr>
          <w:rFonts w:ascii="Times New Roman" w:hAnsi="Times New Roman"/>
          <w:b/>
          <w:i w:val="false"/>
          <w:color w:val="000000"/>
          <w:sz w:val="22"/>
        </w:rPr>
        <w:t xml:space="preserve">(543D) </w:t>
      </w:r>
      <w:r>
        <w:rPr>
          <w:rFonts w:ascii="Times New Roman" w:hAnsi="Times New Roman"/>
          <w:b/>
          <w:i w:val="false"/>
          <w:color w:val="000000"/>
          <w:sz w:val="22"/>
        </w:rPr>
        <w:t xml:space="preserve">Progress toward certification as a certified residential appraiser or certified general appraiser.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2034.4(1)</w:t>
      </w:r>
      <w:r>
        <w:rPr>
          <w:rFonts w:ascii="Times New Roman" w:hAnsi="Times New Roman"/>
          <w:b w:val="false"/>
          <w:i w:val="false"/>
          <w:color w:val="000000"/>
          <w:sz w:val="22"/>
        </w:rPr>
        <w:t> </w:t>
      </w:r>
      <w:r>
        <w:rPr>
          <w:rFonts w:ascii="Times New Roman" w:hAnsi="Times New Roman"/>
          <w:b w:val="false"/>
          <w:i/>
          <w:color w:val="000000"/>
          <w:sz w:val="22"/>
        </w:rPr>
        <w:t xml:space="preserve">Associate classification. </w:t>
      </w:r>
      <w:r>
        <w:rPr>
          <w:rFonts w:ascii="Times New Roman" w:hAnsi="Times New Roman"/>
          <w:b w:val="false"/>
          <w:i w:val="false"/>
          <w:color w:val="000000"/>
          <w:sz w:val="22"/>
        </w:rPr>
        <w:t xml:space="preserve">The associate appraiser classification is intended for those persons training to become certified appraisers and is not intended as a long-term method of performing appraisal services under the supervision of a certified appraiser in the absence of progress toward certification. As a result, the board may impose deadlines for achieving certification, or for satisfying certain prerequisites toward certification.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2034.4(2)</w:t>
      </w:r>
      <w:r>
        <w:rPr>
          <w:rFonts w:ascii="Times New Roman" w:hAnsi="Times New Roman"/>
          <w:b w:val="false"/>
          <w:i w:val="false"/>
          <w:color w:val="000000"/>
          <w:sz w:val="22"/>
        </w:rPr>
        <w:t> </w:t>
      </w:r>
      <w:r>
        <w:rPr>
          <w:rFonts w:ascii="Times New Roman" w:hAnsi="Times New Roman"/>
          <w:b w:val="false"/>
          <w:i/>
          <w:color w:val="000000"/>
          <w:sz w:val="22"/>
        </w:rPr>
        <w:t xml:space="preserve">Progress reports. </w:t>
      </w:r>
      <w:r>
        <w:rPr>
          <w:rFonts w:ascii="Times New Roman" w:hAnsi="Times New Roman"/>
          <w:b w:val="false"/>
          <w:i w:val="false"/>
          <w:color w:val="000000"/>
          <w:sz w:val="22"/>
        </w:rPr>
        <w:t>In order to assess an associate appraiser’s progress toward certification, the board may request periodic progress reports from the associate appraiser and from the associate appraiser’s supervisory appraiser or appraisers.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7840C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481—2034.5</w:t>
      </w:r>
      <w:r>
        <w:rPr>
          <w:rFonts w:ascii="Times New Roman" w:hAnsi="Times New Roman"/>
          <w:b/>
          <w:i w:val="false"/>
          <w:color w:val="000000"/>
          <w:sz w:val="22"/>
        </w:rPr>
        <w:t xml:space="preserve">(543D) </w:t>
      </w:r>
      <w:r>
        <w:rPr>
          <w:rFonts w:ascii="Times New Roman" w:hAnsi="Times New Roman"/>
          <w:b/>
          <w:i w:val="false"/>
          <w:color w:val="000000"/>
          <w:sz w:val="22"/>
        </w:rPr>
        <w:t xml:space="preserve">Applying for certification as a certified residential appraiser or certified general appraiser. </w:t>
      </w:r>
      <w:r>
        <w:rPr>
          <w:rFonts w:ascii="Times New Roman" w:hAnsi="Times New Roman"/>
          <w:b w:val="false"/>
          <w:i w:val="false"/>
          <w:color w:val="000000"/>
          <w:sz w:val="22"/>
        </w:rPr>
        <w:t xml:space="preserve">An associate appraiser may apply for certification as a certified residential real estate appraiser or as a certified general real estate appraiser as set by the AQB criteria and consistent with Iowa Code chapter </w:t>
      </w:r>
      <w:hyperlink r:id="rId10">
        <w:r>
          <w:rPr>
            <w:rStyle w:val="Hyperlink"/>
            <w:rFonts w:ascii="Times New Roman" w:hAnsi="Times New Roman"/>
            <w:b w:val="false"/>
            <w:i w:val="false"/>
            <w:color w:val="000000"/>
            <w:sz w:val="22"/>
          </w:rPr>
          <w:t>543D</w:t>
        </w:r>
      </w:hyperlink>
      <w:r>
        <w:rPr>
          <w:rFonts w:ascii="Times New Roman" w:hAnsi="Times New Roman"/>
          <w:b w:val="false"/>
          <w:i w:val="false"/>
          <w:color w:val="000000"/>
          <w:sz w:val="22"/>
        </w:rPr>
        <w:t xml:space="preserve"> and the rules of the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7840C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481—2034.6</w:t>
      </w:r>
      <w:r>
        <w:rPr>
          <w:rFonts w:ascii="Times New Roman" w:hAnsi="Times New Roman"/>
          <w:b/>
          <w:i w:val="false"/>
          <w:color w:val="000000"/>
          <w:sz w:val="22"/>
        </w:rPr>
        <w:t xml:space="preserve">(272C,543D) </w:t>
      </w:r>
      <w:r>
        <w:rPr>
          <w:rFonts w:ascii="Times New Roman" w:hAnsi="Times New Roman"/>
          <w:b/>
          <w:i w:val="false"/>
          <w:color w:val="000000"/>
          <w:sz w:val="22"/>
        </w:rPr>
        <w:t xml:space="preserve">Reinstating or reactivating an associate registration.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2034.6(1)</w:t>
      </w:r>
      <w:r>
        <w:rPr>
          <w:rFonts w:ascii="Times New Roman" w:hAnsi="Times New Roman"/>
          <w:b w:val="false"/>
          <w:i w:val="false"/>
          <w:color w:val="000000"/>
          <w:sz w:val="22"/>
        </w:rPr>
        <w:t> </w:t>
      </w:r>
      <w:r>
        <w:rPr>
          <w:rFonts w:ascii="Times New Roman" w:hAnsi="Times New Roman"/>
          <w:b w:val="false"/>
          <w:i w:val="false"/>
          <w:color w:val="000000"/>
          <w:sz w:val="22"/>
        </w:rPr>
        <w:t>In order to reinstate or reactivate an associate registration that has lapsed or been placed in inactive or retired status, the applicant has to complete all continuing education obligations for reinstatement as required by board rule and the AQB criteria. Any qualifying education course taken under this rule as continuing education will also apply as qualifying education toward certification. If the applicant has completed all qualifying education prior to applying to reinstate a lapsed, retired, or inactive associate registration, the applicant may use any approved continuing education course as required by board rule and the AQB criteria.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2034.6(2)</w:t>
      </w:r>
      <w:r>
        <w:rPr>
          <w:rFonts w:ascii="Times New Roman" w:hAnsi="Times New Roman"/>
          <w:b w:val="false"/>
          <w:i w:val="false"/>
          <w:color w:val="000000"/>
          <w:sz w:val="22"/>
        </w:rPr>
        <w:t> </w:t>
      </w:r>
      <w:r>
        <w:rPr>
          <w:rFonts w:ascii="Times New Roman" w:hAnsi="Times New Roman"/>
          <w:b w:val="false"/>
          <w:i w:val="false"/>
          <w:color w:val="000000"/>
          <w:sz w:val="22"/>
        </w:rPr>
        <w:t xml:space="preserve">If an appraiser’s registration is placed in inactive status as a result of the appraiser’s failure to maintain at least one approved active supervisor meeting the obligations of this chapter pursuant to subrule </w:t>
      </w:r>
      <w:hyperlink r:id="rId11">
        <w:r>
          <w:rPr>
            <w:rStyle w:val="Hyperlink"/>
            <w:rFonts w:ascii="Times New Roman" w:hAnsi="Times New Roman"/>
            <w:b w:val="false"/>
            <w:i w:val="false"/>
            <w:color w:val="000000"/>
            <w:sz w:val="22"/>
          </w:rPr>
          <w:t>2034.2(2)</w:t>
        </w:r>
      </w:hyperlink>
      <w:r>
        <w:rPr>
          <w:rFonts w:ascii="Times New Roman" w:hAnsi="Times New Roman"/>
          <w:b w:val="false"/>
          <w:i w:val="false"/>
          <w:color w:val="000000"/>
          <w:sz w:val="22"/>
        </w:rPr>
        <w:t xml:space="preserve">, the applicant will complete the continuing education in accordance with subrule </w:t>
      </w:r>
      <w:hyperlink r:id="rId12">
        <w:r>
          <w:rPr>
            <w:rStyle w:val="Hyperlink"/>
            <w:rFonts w:ascii="Times New Roman" w:hAnsi="Times New Roman"/>
            <w:b w:val="false"/>
            <w:i w:val="false"/>
            <w:color w:val="000000"/>
            <w:sz w:val="22"/>
          </w:rPr>
          <w:t>2034.6(1)</w:t>
        </w:r>
      </w:hyperlink>
      <w:r>
        <w:rPr>
          <w:rFonts w:ascii="Times New Roman" w:hAnsi="Times New Roman"/>
          <w:b w:val="false"/>
          <w:i w:val="false"/>
          <w:color w:val="000000"/>
          <w:sz w:val="22"/>
        </w:rPr>
        <w:t xml:space="preserve"> in order to reinstate the associate registration but is not obligated to pay any reinstatement fee otherwise due so long as the associate has not renewed the registration to inactive status or allowed the registration to lapse prior to reinstating or reactivating the registration.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7840C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481—2034.7</w:t>
      </w:r>
      <w:r>
        <w:rPr>
          <w:rFonts w:ascii="Times New Roman" w:hAnsi="Times New Roman"/>
          <w:b/>
          <w:i w:val="false"/>
          <w:color w:val="000000"/>
          <w:sz w:val="22"/>
        </w:rPr>
        <w:t xml:space="preserve">(543D) </w:t>
      </w:r>
      <w:r>
        <w:rPr>
          <w:rFonts w:ascii="Times New Roman" w:hAnsi="Times New Roman"/>
          <w:b/>
          <w:i w:val="false"/>
          <w:color w:val="000000"/>
          <w:sz w:val="22"/>
        </w:rPr>
        <w:t xml:space="preserve">Supervisory appraiser requirements. </w:t>
      </w:r>
      <w:r>
        <w:rPr>
          <w:rFonts w:ascii="Times New Roman" w:hAnsi="Times New Roman"/>
          <w:b w:val="false"/>
          <w:i w:val="false"/>
          <w:color w:val="000000"/>
          <w:sz w:val="22"/>
        </w:rPr>
        <w:t>Iowa follows the AQB criteria and USPAP concerning supervisory appraiser requirements.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7840C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chapters </w:t>
      </w:r>
      <w:hyperlink r:id="rId13">
        <w:r>
          <w:rPr>
            <w:rStyle w:val="Hyperlink"/>
            <w:rFonts w:ascii="Times New Roman" w:hAnsi="Times New Roman"/>
            <w:b w:val="false"/>
            <w:i w:val="false"/>
            <w:color w:val="000000"/>
            <w:sz w:val="22"/>
          </w:rPr>
          <w:t>543D</w:t>
        </w:r>
      </w:hyperlink>
      <w:r>
        <w:rPr>
          <w:rFonts w:ascii="Times New Roman" w:hAnsi="Times New Roman"/>
          <w:b w:val="false"/>
          <w:i w:val="false"/>
          <w:color w:val="000000"/>
          <w:sz w:val="22"/>
        </w:rPr>
        <w:t xml:space="preserve"> and </w:t>
      </w:r>
      <w:hyperlink r:id="rId14">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2/1/02, Notice 11/28/01—published 2/20/02, effective 3/27/02]</w:t>
      </w:r>
    </w:p>
    <w:p>
      <w:pPr>
        <w:spacing w:before="0" w:after="0"/>
        <w:ind w:left="120"/>
        <w:jc w:val="center"/>
      </w:pPr>
      <w:r>
        <w:rPr>
          <w:rFonts w:ascii="Times New Roman" w:hAnsi="Times New Roman"/>
          <w:b w:val="false"/>
          <w:i w:val="false"/>
          <w:color w:val="000000"/>
          <w:sz w:val="21"/>
        </w:rPr>
        <w:t>[Filed 4/22/05, Notice 3/16/05—published 5/11/05, effective 6/15/05]</w:t>
      </w:r>
    </w:p>
    <w:p>
      <w:pPr>
        <w:spacing w:before="0" w:after="0"/>
        <w:ind w:left="120"/>
        <w:jc w:val="center"/>
      </w:pPr>
      <w:r>
        <w:rPr>
          <w:rFonts w:ascii="Times New Roman" w:hAnsi="Times New Roman"/>
          <w:b w:val="false"/>
          <w:i w:val="false"/>
          <w:color w:val="000000"/>
          <w:sz w:val="21"/>
        </w:rPr>
        <w:t>[Filed 4/6/06, Notice 3/1/06—published 4/26/06, effective 5/31/06]</w:t>
      </w:r>
    </w:p>
    <w:p>
      <w:pPr>
        <w:spacing w:before="0" w:after="0"/>
        <w:ind w:left="120"/>
        <w:jc w:val="center"/>
      </w:pPr>
      <w:r>
        <w:rPr>
          <w:rFonts w:ascii="Times New Roman" w:hAnsi="Times New Roman"/>
          <w:b w:val="false"/>
          <w:i w:val="false"/>
          <w:color w:val="000000"/>
          <w:sz w:val="21"/>
        </w:rPr>
        <w:t>[Filed 6/1/07, Notice 3/28/07—published 6/20/07, effective 7/25/07]</w:t>
      </w:r>
    </w:p>
    <w:p>
      <w:pPr>
        <w:spacing w:before="0" w:after="0"/>
        <w:ind w:left="120"/>
        <w:jc w:val="center"/>
      </w:pPr>
      <w:r>
        <w:rPr>
          <w:rFonts w:ascii="Times New Roman" w:hAnsi="Times New Roman"/>
          <w:b w:val="false"/>
          <w:i w:val="false"/>
          <w:color w:val="000000"/>
          <w:sz w:val="21"/>
        </w:rPr>
        <w:t>[Filed 11/2/07, Notice 8/29/07—published 11/21/07, effective 12/26/07]</w:t>
      </w:r>
    </w:p>
    <w:p>
      <w:pPr>
        <w:spacing w:before="0" w:after="0"/>
        <w:ind w:left="120"/>
        <w:jc w:val="center"/>
      </w:pPr>
      <w:r>
        <w:rPr>
          <w:rFonts w:ascii="Times New Roman" w:hAnsi="Times New Roman"/>
          <w:b w:val="false"/>
          <w:i w:val="false"/>
          <w:color w:val="000000"/>
          <w:sz w:val="21"/>
        </w:rPr>
        <w:t>[Filed ARC 7774B</w:t>
      </w:r>
      <w:r>
        <w:rPr>
          <w:rFonts w:ascii="Times New Roman" w:hAnsi="Times New Roman"/>
          <w:b w:val="false"/>
          <w:i w:val="false"/>
          <w:color w:val="000000"/>
          <w:sz w:val="21"/>
        </w:rPr>
        <w:t xml:space="preserve"> (Notice ARC 7595B, IAB 2/25/09)</w:t>
      </w:r>
      <w:r>
        <w:rPr>
          <w:rFonts w:ascii="Times New Roman" w:hAnsi="Times New Roman"/>
          <w:b w:val="false"/>
          <w:i w:val="false"/>
          <w:color w:val="000000"/>
          <w:sz w:val="21"/>
        </w:rPr>
        <w:t>, IAB 5/20/09, effective 6/24/09]</w:t>
      </w:r>
    </w:p>
    <w:p>
      <w:pPr>
        <w:spacing w:before="0" w:after="0"/>
        <w:ind w:left="120"/>
        <w:jc w:val="center"/>
      </w:pPr>
      <w:r>
        <w:rPr>
          <w:rFonts w:ascii="Times New Roman" w:hAnsi="Times New Roman"/>
          <w:b w:val="false"/>
          <w:i w:val="false"/>
          <w:color w:val="000000"/>
          <w:sz w:val="21"/>
        </w:rPr>
        <w:t>[Filed ARC 1731C</w:t>
      </w:r>
      <w:r>
        <w:rPr>
          <w:rFonts w:ascii="Times New Roman" w:hAnsi="Times New Roman"/>
          <w:b w:val="false"/>
          <w:i w:val="false"/>
          <w:color w:val="000000"/>
          <w:sz w:val="21"/>
        </w:rPr>
        <w:t xml:space="preserve"> (Notice ARC 1631C, IAB 9/17/14)</w:t>
      </w:r>
      <w:r>
        <w:rPr>
          <w:rFonts w:ascii="Times New Roman" w:hAnsi="Times New Roman"/>
          <w:b w:val="false"/>
          <w:i w:val="false"/>
          <w:color w:val="000000"/>
          <w:sz w:val="21"/>
        </w:rPr>
        <w:t>, IAB 11/12/14, effective 12/17/14]</w:t>
      </w:r>
    </w:p>
    <w:p>
      <w:pPr>
        <w:spacing w:before="0" w:after="0"/>
        <w:ind w:left="120"/>
        <w:jc w:val="center"/>
      </w:pPr>
      <w:r>
        <w:rPr>
          <w:rFonts w:ascii="Times New Roman" w:hAnsi="Times New Roman"/>
          <w:b w:val="false"/>
          <w:i w:val="false"/>
          <w:color w:val="000000"/>
          <w:sz w:val="21"/>
        </w:rPr>
        <w:t>[Filed ARC 3084C</w:t>
      </w:r>
      <w:r>
        <w:rPr>
          <w:rFonts w:ascii="Times New Roman" w:hAnsi="Times New Roman"/>
          <w:b w:val="false"/>
          <w:i w:val="false"/>
          <w:color w:val="000000"/>
          <w:sz w:val="21"/>
        </w:rPr>
        <w:t xml:space="preserve"> (Notice ARC 2966C, IAB 3/15/17)</w:t>
      </w:r>
      <w:r>
        <w:rPr>
          <w:rFonts w:ascii="Times New Roman" w:hAnsi="Times New Roman"/>
          <w:b w:val="false"/>
          <w:i w:val="false"/>
          <w:color w:val="000000"/>
          <w:sz w:val="21"/>
        </w:rPr>
        <w:t>, IAB 5/24/17, effective 6/28/17]</w:t>
      </w:r>
    </w:p>
    <w:p>
      <w:pPr>
        <w:spacing w:before="0" w:after="0"/>
        <w:ind w:left="120"/>
        <w:jc w:val="center"/>
      </w:pPr>
      <w:r>
        <w:rPr>
          <w:rFonts w:ascii="Times New Roman" w:hAnsi="Times New Roman"/>
          <w:b w:val="false"/>
          <w:i w:val="false"/>
          <w:color w:val="000000"/>
          <w:sz w:val="21"/>
        </w:rPr>
        <w:t>[Filed ARC 4169C</w:t>
      </w:r>
      <w:r>
        <w:rPr>
          <w:rFonts w:ascii="Times New Roman" w:hAnsi="Times New Roman"/>
          <w:b w:val="false"/>
          <w:i w:val="false"/>
          <w:color w:val="000000"/>
          <w:sz w:val="21"/>
        </w:rPr>
        <w:t xml:space="preserve"> (Notice ARC 4006C, IAB 9/26/18)</w:t>
      </w:r>
      <w:r>
        <w:rPr>
          <w:rFonts w:ascii="Times New Roman" w:hAnsi="Times New Roman"/>
          <w:b w:val="false"/>
          <w:i w:val="false"/>
          <w:color w:val="000000"/>
          <w:sz w:val="21"/>
        </w:rPr>
        <w:t>, IAB 12/5/18, effective 1/9/19]</w:t>
      </w:r>
    </w:p>
    <w:p>
      <w:pPr>
        <w:spacing w:before="0" w:after="0"/>
        <w:ind w:left="120"/>
        <w:jc w:val="center"/>
      </w:pPr>
      <w:r>
        <w:rPr>
          <w:rFonts w:ascii="Times New Roman" w:hAnsi="Times New Roman"/>
          <w:b w:val="false"/>
          <w:i w:val="false"/>
          <w:color w:val="000000"/>
          <w:sz w:val="21"/>
        </w:rPr>
        <w:t>[Filed ARC 5237C</w:t>
      </w:r>
      <w:r>
        <w:rPr>
          <w:rFonts w:ascii="Times New Roman" w:hAnsi="Times New Roman"/>
          <w:b w:val="false"/>
          <w:i w:val="false"/>
          <w:color w:val="000000"/>
          <w:sz w:val="21"/>
        </w:rPr>
        <w:t xml:space="preserve"> (Notice ARC 5126C, IAB 8/12/20)</w:t>
      </w:r>
      <w:r>
        <w:rPr>
          <w:rFonts w:ascii="Times New Roman" w:hAnsi="Times New Roman"/>
          <w:b w:val="false"/>
          <w:i w:val="false"/>
          <w:color w:val="000000"/>
          <w:sz w:val="21"/>
        </w:rPr>
        <w:t>, IAB 10/21/20, effective 11/25/20]</w:t>
      </w:r>
    </w:p>
    <w:p>
      <w:pPr>
        <w:spacing w:before="0" w:after="0"/>
        <w:ind w:left="120"/>
        <w:jc w:val="center"/>
      </w:pPr>
      <w:r>
        <w:rPr>
          <w:rFonts w:ascii="Times New Roman" w:hAnsi="Times New Roman"/>
          <w:b w:val="false"/>
          <w:i w:val="false"/>
          <w:color w:val="000000"/>
          <w:sz w:val="21"/>
        </w:rPr>
        <w:t>[Filed ARC 5484C</w:t>
      </w:r>
      <w:r>
        <w:rPr>
          <w:rFonts w:ascii="Times New Roman" w:hAnsi="Times New Roman"/>
          <w:b w:val="false"/>
          <w:i w:val="false"/>
          <w:color w:val="000000"/>
          <w:sz w:val="21"/>
        </w:rPr>
        <w:t xml:space="preserve"> (Notice ARC 5261C, IAB 11/4/20)</w:t>
      </w:r>
      <w:r>
        <w:rPr>
          <w:rFonts w:ascii="Times New Roman" w:hAnsi="Times New Roman"/>
          <w:b w:val="false"/>
          <w:i w:val="false"/>
          <w:color w:val="000000"/>
          <w:sz w:val="21"/>
        </w:rPr>
        <w:t>, IAB 2/24/21, effective 3/31/21]</w:t>
      </w:r>
    </w:p>
    <w:p>
      <w:pPr>
        <w:spacing w:before="0" w:after="0"/>
        <w:ind w:left="120"/>
        <w:jc w:val="center"/>
      </w:pPr>
      <w:r>
        <w:rPr>
          <w:rFonts w:ascii="Times New Roman" w:hAnsi="Times New Roman"/>
          <w:b w:val="false"/>
          <w:i w:val="false"/>
          <w:color w:val="000000"/>
          <w:sz w:val="21"/>
        </w:rPr>
        <w:t>[Filed ARC 5785C</w:t>
      </w:r>
      <w:r>
        <w:rPr>
          <w:rFonts w:ascii="Times New Roman" w:hAnsi="Times New Roman"/>
          <w:b w:val="false"/>
          <w:i w:val="false"/>
          <w:color w:val="000000"/>
          <w:sz w:val="21"/>
        </w:rPr>
        <w:t xml:space="preserve"> (Notice ARC 5611C, IAB 5/5/21)</w:t>
      </w:r>
      <w:r>
        <w:rPr>
          <w:rFonts w:ascii="Times New Roman" w:hAnsi="Times New Roman"/>
          <w:b w:val="false"/>
          <w:i w:val="false"/>
          <w:color w:val="000000"/>
          <w:sz w:val="21"/>
        </w:rPr>
        <w:t>, IAB 7/28/21, effective 9/1/21]</w:t>
      </w:r>
    </w:p>
    <w:p>
      <w:pPr>
        <w:spacing w:before="0" w:after="0"/>
        <w:ind w:left="120"/>
        <w:jc w:val="center"/>
      </w:pPr>
      <w:r>
        <w:rPr>
          <w:rFonts w:ascii="Times New Roman" w:hAnsi="Times New Roman"/>
          <w:b w:val="false"/>
          <w:i w:val="false"/>
          <w:color w:val="000000"/>
          <w:sz w:val="21"/>
        </w:rPr>
        <w:t>[Filed ARC 6170C</w:t>
      </w:r>
      <w:r>
        <w:rPr>
          <w:rFonts w:ascii="Times New Roman" w:hAnsi="Times New Roman"/>
          <w:b w:val="false"/>
          <w:i w:val="false"/>
          <w:color w:val="000000"/>
          <w:sz w:val="21"/>
        </w:rPr>
        <w:t xml:space="preserve"> (Notice ARC 6017C, IAB 11/3/21)</w:t>
      </w:r>
      <w:r>
        <w:rPr>
          <w:rFonts w:ascii="Times New Roman" w:hAnsi="Times New Roman"/>
          <w:b w:val="false"/>
          <w:i w:val="false"/>
          <w:color w:val="000000"/>
          <w:sz w:val="21"/>
        </w:rPr>
        <w:t>, IAB 2/9/22, effective 3/16/22]</w:t>
      </w:r>
    </w:p>
    <w:p>
      <w:pPr>
        <w:spacing w:before="0" w:after="0"/>
        <w:ind w:left="120"/>
        <w:jc w:val="center"/>
      </w:pPr>
      <w:r>
        <w:rPr>
          <w:rFonts w:ascii="Times New Roman" w:hAnsi="Times New Roman"/>
          <w:b w:val="false"/>
          <w:i w:val="false"/>
          <w:color w:val="000000"/>
          <w:sz w:val="21"/>
        </w:rPr>
        <w:t>[Filed ARC 7840C</w:t>
      </w:r>
      <w:r>
        <w:rPr>
          <w:rFonts w:ascii="Times New Roman" w:hAnsi="Times New Roman"/>
          <w:b w:val="false"/>
          <w:i w:val="false"/>
          <w:color w:val="000000"/>
          <w:sz w:val="21"/>
        </w:rPr>
        <w:t xml:space="preserve"> (Notice ARC 7260C, IAB 1/24/24)</w:t>
      </w:r>
      <w:r>
        <w:rPr>
          <w:rFonts w:ascii="Times New Roman" w:hAnsi="Times New Roman"/>
          <w:b w:val="false"/>
          <w:i w:val="false"/>
          <w:color w:val="000000"/>
          <w:sz w:val="21"/>
        </w:rPr>
        <w:t>, IAB 4/17/24, effective 5/22/24]</w:t>
      </w:r>
    </w:p>
    <w:p>
      <w:pPr>
        <w:spacing w:before="0" w:after="0"/>
        <w:ind w:left="120"/>
        <w:jc w:val="center"/>
      </w:pPr>
      <w:r>
        <w:rPr>
          <w:rFonts w:ascii="Times New Roman" w:hAnsi="Times New Roman"/>
          <w:b w:val="false"/>
          <w:i w:val="false"/>
          <w:color w:val="000000"/>
          <w:sz w:val="21"/>
        </w:rPr>
        <w:t>[Editorial change: IAC Supplement 6/10/26]</w:t>
      </w:r>
    </w:p>
    <w:sectPr>
      <w:footerReference r:id="rId15"/>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7A.18.pdf" Type="http://schemas.openxmlformats.org/officeDocument/2006/relationships/hyperlink" Id="rId5"/>
    <Relationship TargetMode="External" Target="https://www.legis.iowa.gov/docs/iac/rule/481.2033.4.pdf" Type="http://schemas.openxmlformats.org/officeDocument/2006/relationships/hyperlink" Id="rId6"/>
    <Relationship TargetMode="External" Target="https://www.legis.iowa.gov/docs/iac/chapter/481.2036.pdf" Type="http://schemas.openxmlformats.org/officeDocument/2006/relationships/hyperlink" Id="rId7"/>
    <Relationship TargetMode="External" Target="https://www.legis.iowa.gov/docs/iac/chapter/481.2038.pdf" Type="http://schemas.openxmlformats.org/officeDocument/2006/relationships/hyperlink" Id="rId8"/>
    <Relationship TargetMode="External" Target="https://www.legis.iowa.gov/docs/iac/chapter/481.2040.pdf" Type="http://schemas.openxmlformats.org/officeDocument/2006/relationships/hyperlink" Id="rId9"/>
    <Relationship TargetMode="External" Target="https://www.legis.iowa.gov/docs/ico/chapter/543D.pdf" Type="http://schemas.openxmlformats.org/officeDocument/2006/relationships/hyperlink" Id="rId10"/>
    <Relationship TargetMode="External" Target="https://www.legis.iowa.gov/docs/iac/rule/481.2034.2.pdf" Type="http://schemas.openxmlformats.org/officeDocument/2006/relationships/hyperlink" Id="rId11"/>
    <Relationship TargetMode="External" Target="https://www.legis.iowa.gov/docs/iac/rule/481.2034.6.pdf" Type="http://schemas.openxmlformats.org/officeDocument/2006/relationships/hyperlink" Id="rId12"/>
    <Relationship TargetMode="External" Target="https://www.legis.iowa.gov/docs/ico/chapter/543D.pdf" Type="http://schemas.openxmlformats.org/officeDocument/2006/relationships/hyperlink" Id="rId13"/>
    <Relationship TargetMode="External" Target="https://www.legis.iowa.gov/docs/ico/chapter/272C.pdf" Type="http://schemas.openxmlformats.org/officeDocument/2006/relationships/hyperlink" Id="rId14"/>
    <Relationship Target="footer.xml" Type="http://schemas.openxmlformats.org/officeDocument/2006/relationships/footer" Id="rId15"/>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