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2019</w:t>
      </w:r>
    </w:p>
    <w:p>
      <w:pPr>
        <w:spacing w:before="0" w:after="0"/>
        <w:ind w:left="120"/>
        <w:jc w:val="center"/>
      </w:pPr>
      <w:r>
        <w:rPr>
          <w:rFonts w:ascii="Times New Roman" w:hAnsi="Times New Roman"/>
          <w:b w:val="false"/>
          <w:i w:val="false"/>
          <w:color w:val="000000"/>
          <w:sz w:val="21"/>
        </w:rPr>
        <w:t>REQUIREMENTS FOR MANDATORY ERRORS AND OMISSIONS INSURANCE</w:t>
      </w:r>
    </w:p>
    <w:p>
      <w:pPr>
        <w:spacing w:before="0" w:after="0"/>
        <w:ind w:left="120"/>
        <w:jc w:val="center"/>
      </w:pPr>
      <w:r>
        <w:rPr>
          <w:rFonts w:ascii="Times New Roman" w:hAnsi="Times New Roman"/>
          <w:b w:val="false"/>
          <w:i w:val="false"/>
          <w:color w:val="000000"/>
          <w:sz w:val="14"/>
        </w:rPr>
        <w:t>[Prior to 9/4/02, see 193E—Ch 6]</w:t>
      </w:r>
    </w:p>
    <w:p>
      <w:pPr>
        <w:spacing w:before="0" w:after="0"/>
        <w:ind w:left="120"/>
        <w:jc w:val="center"/>
      </w:pPr>
      <w:r>
        <w:rPr>
          <w:rFonts w:ascii="Times New Roman" w:hAnsi="Times New Roman"/>
          <w:b w:val="false"/>
          <w:i w:val="false"/>
          <w:color w:val="000000"/>
          <w:sz w:val="14"/>
        </w:rPr>
        <w:t>[Prior to 6/10/26, see Real Estate Commission[193E]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481—2019.1</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“Aggregate limit”</w:t>
      </w:r>
      <w:r>
        <w:rPr>
          <w:rFonts w:ascii="Times New Roman" w:hAnsi="Times New Roman"/>
          <w:b w:val="false"/>
          <w:i w:val="false"/>
          <w:color w:val="000000"/>
          <w:sz w:val="22"/>
        </w:rPr>
        <w:t> </w:t>
      </w:r>
      <w:r>
        <w:rPr>
          <w:rFonts w:ascii="Times New Roman" w:hAnsi="Times New Roman"/>
          <w:b w:val="false"/>
          <w:i w:val="false"/>
          <w:color w:val="000000"/>
          <w:sz w:val="22"/>
        </w:rPr>
        <w:t>is a provision in an insurance contract limiting the maximum liability of an insurer for a series of losses in a given time period such as the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“Claims-made”</w:t>
      </w:r>
      <w:r>
        <w:rPr>
          <w:rFonts w:ascii="Times New Roman" w:hAnsi="Times New Roman"/>
          <w:b w:val="false"/>
          <w:i w:val="false"/>
          <w:color w:val="000000"/>
          <w:sz w:val="22"/>
        </w:rPr>
        <w:t> </w:t>
      </w:r>
      <w:r>
        <w:rPr>
          <w:rFonts w:ascii="Times New Roman" w:hAnsi="Times New Roman"/>
          <w:b w:val="false"/>
          <w:i w:val="false"/>
          <w:color w:val="000000"/>
          <w:sz w:val="22"/>
        </w:rPr>
        <w:t>means policies written under a claims-made basis will cover claims made (reported or filed) during the year the policy is in force for incidents which occur that year or during any previous period the policyholder was insured under the claims-made contract. This form of coverage is in contrast to the occurrence policy which covers today’s incident regardless of when a claim is filed even if it is one or more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“Extended reporting period”</w:t>
      </w:r>
      <w:r>
        <w:rPr>
          <w:rFonts w:ascii="Times New Roman" w:hAnsi="Times New Roman"/>
          <w:b w:val="false"/>
          <w:i w:val="false"/>
          <w:color w:val="000000"/>
          <w:sz w:val="22"/>
        </w:rPr>
        <w:t> </w:t>
      </w:r>
      <w:r>
        <w:rPr>
          <w:rFonts w:ascii="Times New Roman" w:hAnsi="Times New Roman"/>
          <w:b w:val="false"/>
          <w:i w:val="false"/>
          <w:color w:val="000000"/>
          <w:sz w:val="22"/>
        </w:rPr>
        <w:t>is a designated period of time after a claims-made policy has expired during which a claim may be made and coverage triggered as if the claim had been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is any active individual broker, broker associate, or salesperson; any partnership; or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 claim limit”</w:t>
      </w:r>
      <w:r>
        <w:rPr>
          <w:rFonts w:ascii="Times New Roman" w:hAnsi="Times New Roman"/>
          <w:b w:val="false"/>
          <w:i w:val="false"/>
          <w:color w:val="000000"/>
          <w:sz w:val="22"/>
        </w:rPr>
        <w:t> </w:t>
      </w:r>
      <w:r>
        <w:rPr>
          <w:rFonts w:ascii="Times New Roman" w:hAnsi="Times New Roman"/>
          <w:b w:val="false"/>
          <w:i w:val="false"/>
          <w:color w:val="000000"/>
          <w:sz w:val="22"/>
        </w:rPr>
        <w:t>means the maximum limit payable, per licensee, for damages arising out of the same error, omission, or wrongful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 acts coverage”</w:t>
      </w:r>
      <w:r>
        <w:rPr>
          <w:rFonts w:ascii="Times New Roman" w:hAnsi="Times New Roman"/>
          <w:b w:val="false"/>
          <w:i w:val="false"/>
          <w:color w:val="000000"/>
          <w:sz w:val="22"/>
        </w:rPr>
        <w:t> </w:t>
      </w:r>
      <w:r>
        <w:rPr>
          <w:rFonts w:ascii="Times New Roman" w:hAnsi="Times New Roman"/>
          <w:b w:val="false"/>
          <w:i w:val="false"/>
          <w:color w:val="000000"/>
          <w:sz w:val="22"/>
        </w:rPr>
        <w:t>applies to policies on a claims-made versus occurrence basis. Prior acts coverage responds to claims which are made during a current policy period, but the act or acts causing the claim or injuries for which the claim is made occurred prior to the inception of the current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“Proof of coverage”</w:t>
      </w:r>
      <w:r>
        <w:rPr>
          <w:rFonts w:ascii="Times New Roman" w:hAnsi="Times New Roman"/>
          <w:b w:val="false"/>
          <w:i w:val="false"/>
          <w:color w:val="000000"/>
          <w:sz w:val="22"/>
        </w:rPr>
        <w:t> </w:t>
      </w:r>
      <w:r>
        <w:rPr>
          <w:rFonts w:ascii="Times New Roman" w:hAnsi="Times New Roman"/>
          <w:b w:val="false"/>
          <w:i w:val="false"/>
          <w:color w:val="000000"/>
          <w:sz w:val="22"/>
        </w:rPr>
        <w:t>means a copy of the actual policy of insurance, a certificate of insurance or a binder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“Retroactive date”</w:t>
      </w:r>
      <w:r>
        <w:rPr>
          <w:rFonts w:ascii="Times New Roman" w:hAnsi="Times New Roman"/>
          <w:b w:val="false"/>
          <w:i w:val="false"/>
          <w:color w:val="000000"/>
          <w:sz w:val="22"/>
        </w:rPr>
        <w:t> </w:t>
      </w:r>
      <w:r>
        <w:rPr>
          <w:rFonts w:ascii="Times New Roman" w:hAnsi="Times New Roman"/>
          <w:b w:val="false"/>
          <w:i w:val="false"/>
          <w:color w:val="000000"/>
          <w:sz w:val="22"/>
        </w:rPr>
        <w:t>is a provision found in many claims-made policies. The policy will not cover claims for injuries or damages that occurred prior to the retroactive date even if the claim is first made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“Umbrella type coverage”</w:t>
      </w:r>
      <w:r>
        <w:rPr>
          <w:rFonts w:ascii="Times New Roman" w:hAnsi="Times New Roman"/>
          <w:b w:val="false"/>
          <w:i w:val="false"/>
          <w:color w:val="000000"/>
          <w:sz w:val="22"/>
        </w:rPr>
        <w:t> </w:t>
      </w:r>
      <w:r>
        <w:rPr>
          <w:rFonts w:ascii="Times New Roman" w:hAnsi="Times New Roman"/>
          <w:b w:val="false"/>
          <w:i w:val="false"/>
          <w:color w:val="000000"/>
          <w:sz w:val="22"/>
        </w:rPr>
        <w:t>means a policy that provides insurance coverage for the broker or firm and all licensees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481—2019.2</w:t>
      </w:r>
      <w:r>
        <w:rPr>
          <w:rFonts w:ascii="Times New Roman" w:hAnsi="Times New Roman"/>
          <w:b/>
          <w:i w:val="false"/>
          <w:color w:val="000000"/>
          <w:sz w:val="22"/>
        </w:rPr>
        <w:t xml:space="preserve">(543B) </w:t>
      </w:r>
      <w:r>
        <w:rPr>
          <w:rFonts w:ascii="Times New Roman" w:hAnsi="Times New Roman"/>
          <w:b/>
          <w:i w:val="false"/>
          <w:color w:val="000000"/>
          <w:sz w:val="22"/>
        </w:rPr>
        <w:t xml:space="preserve">Insurance criteria—general. </w:t>
      </w:r>
      <w:r>
        <w:rPr>
          <w:rFonts w:ascii="Times New Roman" w:hAnsi="Times New Roman"/>
          <w:b w:val="false"/>
          <w:i w:val="false"/>
          <w:color w:val="000000"/>
          <w:sz w:val="22"/>
        </w:rPr>
        <w:t xml:space="preserve">The group coverage insurance policy selected by the commission is approved by the Iowa insurance division. As a condition of licensure, all active real estate licensees follow Iowa Code section </w:t>
      </w:r>
      <w:hyperlink r:id="rId5">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regarding mandatory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2019.2(1)</w:t>
      </w:r>
      <w:r>
        <w:rPr>
          <w:rFonts w:ascii="Times New Roman" w:hAnsi="Times New Roman"/>
          <w:b w:val="false"/>
          <w:i w:val="false"/>
          <w:color w:val="000000"/>
          <w:sz w:val="22"/>
        </w:rPr>
        <w:t> </w:t>
      </w:r>
      <w:r>
        <w:rPr>
          <w:rFonts w:ascii="Times New Roman" w:hAnsi="Times New Roman"/>
          <w:b w:val="false"/>
          <w:i w:val="false"/>
          <w:color w:val="000000"/>
          <w:sz w:val="22"/>
        </w:rPr>
        <w:t>Who submits plan of coverage. The following persons submit proof of insurance when needed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active individual broker, broker associate, broker sole proprietor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active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2019.2(2)</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Individuals whose licenses are on inactive status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 xml:space="preserve"> do not need to carry errors and omissions insurance as authorized by Iowa Code section </w:t>
      </w:r>
      <w:hyperlink r:id="rId7">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2019.2(3)</w:t>
      </w:r>
      <w:r>
        <w:rPr>
          <w:rFonts w:ascii="Times New Roman" w:hAnsi="Times New Roman"/>
          <w:b w:val="false"/>
          <w:i w:val="false"/>
          <w:color w:val="000000"/>
          <w:sz w:val="22"/>
        </w:rPr>
        <w:t> </w:t>
      </w:r>
      <w:r>
        <w:rPr>
          <w:rFonts w:ascii="Times New Roman" w:hAnsi="Times New Roman"/>
          <w:b w:val="false"/>
          <w:i w:val="false"/>
          <w:color w:val="000000"/>
          <w:sz w:val="22"/>
        </w:rPr>
        <w:t xml:space="preserve">Territory. All resident Iowa licensees are covered for activities contemplated under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both in and out of the state of Iowa. Nonresident licensees participating under the state plan are not covered both in and out of the state of Iowa unless the state plan selected by the commission will cover participating nonresidents when involved in real estate activities in the nonresident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2019.2(4)</w:t>
      </w:r>
      <w:r>
        <w:rPr>
          <w:rFonts w:ascii="Times New Roman" w:hAnsi="Times New Roman"/>
          <w:b w:val="false"/>
          <w:i w:val="false"/>
          <w:color w:val="000000"/>
          <w:sz w:val="22"/>
        </w:rPr>
        <w:t> </w:t>
      </w:r>
      <w:r>
        <w:rPr>
          <w:rFonts w:ascii="Times New Roman" w:hAnsi="Times New Roman"/>
          <w:b w:val="false"/>
          <w:i w:val="false"/>
          <w:color w:val="000000"/>
          <w:sz w:val="22"/>
        </w:rPr>
        <w:t>Insurance form. Licensees may obtain errors and omissions coverage through the insurance carrier selected by the commission to provide the group policy coverage. The following are minimum criteria of the group policy to be issued to the Iowa real estate commission including, as named insureds, all licensees who have paid the necessary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annual aggregate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Limits are to apply per licensee, per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Defense costs are to be payable in addition to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contract of insurance pays, on behalf of the insured person(s), liabilities 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2019.2(5)</w:t>
      </w:r>
      <w:r>
        <w:rPr>
          <w:rFonts w:ascii="Times New Roman" w:hAnsi="Times New Roman"/>
          <w:b w:val="false"/>
          <w:i w:val="false"/>
          <w:color w:val="000000"/>
          <w:sz w:val="22"/>
        </w:rPr>
        <w:t> </w:t>
      </w:r>
      <w:r>
        <w:rPr>
          <w:rFonts w:ascii="Times New Roman" w:hAnsi="Times New Roman"/>
          <w:b w:val="false"/>
          <w:i w:val="false"/>
          <w:color w:val="000000"/>
          <w:sz w:val="22"/>
        </w:rPr>
        <w:t>Contract period. The contract between the insurance carrier or program manager and the commission may be written for a one- to three-year period with the option to renew or renegotiate each year thereafter. The commission reserves the right to terminate the contract after written notice to the carrier at least 120 days prior to the end of any policy term and place the contract out for bid.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periods are not less than 12-month policy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provides full and complete prior acts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licensee purchased full prior acts coverage on or after July 1, 1991, that licensee continues to be guaranteed full prior acts coverage if insurance carriers are changed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retroactive date of the master policy is never later than July 1, 1991, for those that can provide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each licensee is individually determined by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retroactive date for any new licensee who first obtains a license after July 1, 1991, is individually determined by the effective date of the license, the inception date of coverage, and proof of continuous coverage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2019.2(6)</w:t>
      </w:r>
      <w:r>
        <w:rPr>
          <w:rFonts w:ascii="Times New Roman" w:hAnsi="Times New Roman"/>
          <w:b w:val="false"/>
          <w:i w:val="false"/>
          <w:color w:val="000000"/>
          <w:sz w:val="22"/>
        </w:rPr>
        <w:t> </w:t>
      </w:r>
      <w:r>
        <w:rPr>
          <w:rFonts w:ascii="Times New Roman" w:hAnsi="Times New Roman"/>
          <w:b w:val="false"/>
          <w:i w:val="false"/>
          <w:color w:val="000000"/>
          <w:sz w:val="22"/>
        </w:rPr>
        <w:t>Any licensee insured in the state selected program whose license becomes inactive will not be charged an additional premium if the license is reinstated during the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2019.2(7)</w:t>
      </w:r>
      <w:r>
        <w:rPr>
          <w:rFonts w:ascii="Times New Roman" w:hAnsi="Times New Roman"/>
          <w:b w:val="false"/>
          <w:i w:val="false"/>
          <w:color w:val="000000"/>
          <w:sz w:val="22"/>
        </w:rPr>
        <w:t> </w:t>
      </w:r>
      <w:r>
        <w:rPr>
          <w:rFonts w:ascii="Times New Roman" w:hAnsi="Times New Roman"/>
          <w:b w:val="false"/>
          <w:i w:val="false"/>
          <w:color w:val="000000"/>
          <w:sz w:val="22"/>
        </w:rPr>
        <w:t>Any licenses issued other than at renewal and insured by the state selected program are subject to a pro-rata premium.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481—2019.3</w:t>
      </w:r>
      <w:r>
        <w:rPr>
          <w:rFonts w:ascii="Times New Roman" w:hAnsi="Times New Roman"/>
          <w:b/>
          <w:i w:val="false"/>
          <w:color w:val="000000"/>
          <w:sz w:val="22"/>
        </w:rPr>
        <w:t xml:space="preserve">(543B) </w:t>
      </w:r>
      <w:r>
        <w:rPr>
          <w:rFonts w:ascii="Times New Roman" w:hAnsi="Times New Roman"/>
          <w:b/>
          <w:i w:val="false"/>
          <w:color w:val="000000"/>
          <w:sz w:val="22"/>
        </w:rPr>
        <w:t xml:space="preserve">Other coverage. </w:t>
      </w:r>
      <w:r>
        <w:rPr>
          <w:rFonts w:ascii="Times New Roman" w:hAnsi="Times New Roman"/>
          <w:b w:val="false"/>
          <w:i w:val="false"/>
          <w:color w:val="000000"/>
          <w:sz w:val="22"/>
        </w:rPr>
        <w:t>Licensees are not mandated to purchase insurance coverage through the group policy selected by the commission and may obtain errors and omissions coverage independently if the coverage contained in the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active individual licensees, all provisions of Iowa Code section </w:t>
      </w:r>
      <w:hyperlink r:id="rId10">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If the other coverage is an individual policy, it is each licensee’s responsibility to provide proof of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active partnerships and corporations, otherwise known as firms, all provisions of Iowa Code section </w:t>
      </w:r>
      <w:hyperlink r:id="rId11">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individual policy covering the firm, it is the designated broker’s responsibility to provide proof of the firm’s independently carried insurance coverage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firm and all licensees assigned that perform real estate activities, it is the responsibility of the designated broker of the firm to provide a list of licensees assigned to the firm that are covered under the firm’s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sole-proprietor single license brokers, all provisions of Iowa Code section </w:t>
      </w:r>
      <w:hyperlink r:id="rId12">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broker’s other coverage is an individual policy, it is each licensee’s responsibility to provide proof of the independently carried insurance coverage to the Iowa real estate commission when needed, as provided in subrule </w:t>
      </w:r>
      <w:hyperlink r:id="rId13">
        <w:r>
          <w:rPr>
            <w:rStyle w:val="Hyperlink"/>
            <w:rFonts w:ascii="Times New Roman" w:hAnsi="Times New Roman"/>
            <w:b w:val="false"/>
            <w:i w:val="false"/>
            <w:color w:val="000000"/>
            <w:sz w:val="22"/>
          </w:rPr>
          <w:t>2019.3(1)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coverage is an umbrella type policy covering the broker and all licensees assigned that perform real estate activities, it is the responsibility of the broker to provide a list of licensees assigned to the broker that are covered under the broker’s insurance policy to the Iowa real estate commission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2019.3(4)</w:t>
      </w:r>
      <w:r>
        <w:rPr>
          <w:rFonts w:ascii="Times New Roman" w:hAnsi="Times New Roman"/>
          <w:b w:val="false"/>
          <w:i w:val="false"/>
          <w:color w:val="000000"/>
          <w:sz w:val="22"/>
        </w:rPr>
        <w:t> </w:t>
      </w:r>
      <w:r>
        <w:rPr>
          <w:rFonts w:ascii="Times New Roman" w:hAnsi="Times New Roman"/>
          <w:b w:val="false"/>
          <w:i w:val="false"/>
          <w:color w:val="000000"/>
          <w:sz w:val="22"/>
        </w:rPr>
        <w:t>For independently carried individual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deductible for an individual policy for damages and defense, each licensee, and each claim is not more than the deductible of the commission group policy for the current policy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2019.3(5)</w:t>
      </w:r>
      <w:r>
        <w:rPr>
          <w:rFonts w:ascii="Times New Roman" w:hAnsi="Times New Roman"/>
          <w:b w:val="false"/>
          <w:i w:val="false"/>
          <w:color w:val="000000"/>
          <w:sz w:val="22"/>
        </w:rPr>
        <w:t> </w:t>
      </w:r>
      <w:r>
        <w:rPr>
          <w:rFonts w:ascii="Times New Roman" w:hAnsi="Times New Roman"/>
          <w:b w:val="false"/>
          <w:i w:val="false"/>
          <w:color w:val="000000"/>
          <w:sz w:val="22"/>
        </w:rPr>
        <w:t>For firms and sole-proprietor brokerages with independently carried firm umbrella type coverage,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contemplated under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are included as covered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 claim limit is not less than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aggregate limit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less than $250,000 for a broker or firm with two through ten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less than $500,000 for a broker or firm with 11 through 40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less than $1,000,000 for a broker or firm with 41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no maximum deductible limit for firm umbrella type coverage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firm size change or a sole-proprietor brokerage size change results in a higher aggregate minimum criteria, that firm or broker corrects the deficiency within one year, or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2019.3(6)</w:t>
      </w:r>
      <w:r>
        <w:rPr>
          <w:rFonts w:ascii="Times New Roman" w:hAnsi="Times New Roman"/>
          <w:b w:val="false"/>
          <w:i w:val="false"/>
          <w:color w:val="000000"/>
          <w:sz w:val="22"/>
        </w:rPr>
        <w:t> </w:t>
      </w:r>
      <w:r>
        <w:rPr>
          <w:rFonts w:ascii="Times New Roman" w:hAnsi="Times New Roman"/>
          <w:b w:val="false"/>
          <w:i w:val="false"/>
          <w:color w:val="000000"/>
          <w:sz w:val="22"/>
        </w:rPr>
        <w:t>To comply with the provisions of the Iowa errors and omissions law, if other independently carried insurance is provided, as proof of errors and omissions coverage for individual or firm umbrella type coverage, the other insurance carrier agrees to either a noncancelable policy, or provides a letter of commitment to notify the Iowa real estate commission 30 days prior to the intention to cancel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2019.3(7)</w:t>
      </w:r>
      <w:r>
        <w:rPr>
          <w:rFonts w:ascii="Times New Roman" w:hAnsi="Times New Roman"/>
          <w:b w:val="false"/>
          <w:i w:val="false"/>
          <w:color w:val="000000"/>
          <w:sz w:val="22"/>
        </w:rPr>
        <w:t> </w:t>
      </w:r>
      <w:r>
        <w:rPr>
          <w:rFonts w:ascii="Times New Roman" w:hAnsi="Times New Roman"/>
          <w:b w:val="false"/>
          <w:i w:val="false"/>
          <w:color w:val="000000"/>
          <w:sz w:val="22"/>
        </w:rPr>
        <w:t>Whenever commission criteria, coverage, or limits change, the commission provides a reasonable transition period to allow the licensee or firm with other coverage the opportunity to change carriers or coverage to comply with all criteria and limits, providing the present policy was in effect and in compliance with all prior criteria. The licensee or firm corrects the deficiency within one year, or not later than the next renewal term of the insurance policy,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individual licensee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2019.3(9)</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designated broker of the firm to notify the commission when changing insurance status, coverage, or provider when necessary or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2019.3(10)</w:t>
      </w:r>
      <w:r>
        <w:rPr>
          <w:rFonts w:ascii="Times New Roman" w:hAnsi="Times New Roman"/>
          <w:b w:val="false"/>
          <w:i w:val="false"/>
          <w:color w:val="000000"/>
          <w:sz w:val="22"/>
        </w:rPr>
        <w:t> </w:t>
      </w:r>
      <w:r>
        <w:rPr>
          <w:rFonts w:ascii="Times New Roman" w:hAnsi="Times New Roman"/>
          <w:b w:val="false"/>
          <w:i w:val="false"/>
          <w:color w:val="000000"/>
          <w:sz w:val="22"/>
        </w:rPr>
        <w:t>Self-insurance does not comply with the provisions of the Iowa errors and omissions insurance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481—2019.4</w:t>
      </w:r>
      <w:r>
        <w:rPr>
          <w:rFonts w:ascii="Times New Roman" w:hAnsi="Times New Roman"/>
          <w:b/>
          <w:i w:val="false"/>
          <w:color w:val="000000"/>
          <w:sz w:val="22"/>
        </w:rPr>
        <w:t xml:space="preserve">(543B) </w:t>
      </w:r>
      <w:r>
        <w:rPr>
          <w:rFonts w:ascii="Times New Roman" w:hAnsi="Times New Roman"/>
          <w:b/>
          <w:i w:val="false"/>
          <w:color w:val="000000"/>
          <w:sz w:val="22"/>
        </w:rPr>
        <w:t xml:space="preserve">Administrative criteria—general.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obtain approval from the Iowa division of insurance for the group policy before inception of the program or policy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handle administrative duties relative to operation of the program selected by the commission, including billing and premium collection, toll-free access for questions, and claim processing and general informational mailings.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2019.4(3)</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send a billing notice to each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2019.4(4)</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collect all premiums due and verify proper payment.</w:t>
      </w:r>
    </w:p>
    <w:p>
      <w:pPr>
        <w:spacing w:before="0" w:after="0"/>
        <w:ind w:left="120"/>
        <w:jc w:val="both"/>
      </w:pPr>
      <w:r>
        <w:rPr>
          <w:rFonts w:ascii="Times New Roman" w:hAnsi="Times New Roman"/>
          <w:b w:val="false"/>
          <w:i w:val="false"/>
          <w:color w:val="000000"/>
          <w:sz w:val="22"/>
        </w:rPr>
        <w:t>A schedule of licensees who have paid the proper premium and who have coverage in force is provided electronically to the commission at agreed time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issue individual certificates to each licensee and a master policy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2019.4(6)</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responsibility of the insurance carrier or program manager to market its program and to develop and distribute informational brochures about the coverages provided, services available and criteria of Iowa Code section </w:t>
      </w:r>
      <w:hyperlink r:id="rId16">
        <w:r>
          <w:rPr>
            <w:rStyle w:val="Hyperlink"/>
            <w:rFonts w:ascii="Times New Roman" w:hAnsi="Times New Roman"/>
            <w:b w:val="false"/>
            <w:i w:val="false"/>
            <w:color w:val="000000"/>
            <w:sz w:val="22"/>
          </w:rPr>
          <w:t>543B.47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content of any brochures or other literature provided is the responsibility of the insurance carrier or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materials may be reviewed by the executive officer for the commission or appropriate staff person for content only and not for a legal determination of compliance with Iowa law or division of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2019.4(7)</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insurance carrier or program manager to provide educational seminars in the state of Iowa at the request of the commission and subject to terms and conditions agreeable to each party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481—2019.5</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responsibilities. </w:t>
      </w:r>
      <w:r>
        <w:rPr>
          <w:rFonts w:ascii="Times New Roman" w:hAnsi="Times New Roman"/>
          <w:b w:val="false"/>
          <w:i w:val="false"/>
          <w:color w:val="000000"/>
          <w:sz w:val="22"/>
        </w:rPr>
        <w:t>The commission provides the insurance carrier or program manager an electronic schedule of all active licensees approximately three months in advance of inception (or renewal), or as otherwise agreed upon, which the insurance carrier or program manager may use to issue billing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2019.5(1)</w:t>
      </w:r>
      <w:r>
        <w:rPr>
          <w:rFonts w:ascii="Times New Roman" w:hAnsi="Times New Roman"/>
          <w:b w:val="false"/>
          <w:i w:val="false"/>
          <w:color w:val="000000"/>
          <w:sz w:val="22"/>
        </w:rPr>
        <w:t> </w:t>
      </w:r>
      <w:r>
        <w:rPr>
          <w:rFonts w:ascii="Times New Roman" w:hAnsi="Times New Roman"/>
          <w:b w:val="false"/>
          <w:i w:val="false"/>
          <w:color w:val="000000"/>
          <w:sz w:val="22"/>
        </w:rPr>
        <w:t>The insurance carrier or program manager provides the commission with a schedule of insured licensees. The commission will be responsible for comparing this schedule against its own records to determine which licensees elected not to participate in the state program and those that have failed to furnish the commission with acceptable proof of insurance necessary for continued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commission to review proof of other insurance received from licensees not participating in the state program and to confirm that the other insurance meets the minimum criteria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2019.5(3)</w:t>
      </w:r>
      <w:r>
        <w:rPr>
          <w:rFonts w:ascii="Times New Roman" w:hAnsi="Times New Roman"/>
          <w:b w:val="false"/>
          <w:i w:val="false"/>
          <w:color w:val="000000"/>
          <w:sz w:val="22"/>
        </w:rPr>
        <w:t> </w:t>
      </w:r>
      <w:r>
        <w:rPr>
          <w:rFonts w:ascii="Times New Roman" w:hAnsi="Times New Roman"/>
          <w:b w:val="false"/>
          <w:i w:val="false"/>
          <w:color w:val="000000"/>
          <w:sz w:val="22"/>
        </w:rPr>
        <w:t>The commission may mandate that an approved standard form be used to submit proof of other insurance coverage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481—2019.6</w:t>
      </w:r>
      <w:r>
        <w:rPr>
          <w:rFonts w:ascii="Times New Roman" w:hAnsi="Times New Roman"/>
          <w:b/>
          <w:i w:val="false"/>
          <w:color w:val="000000"/>
          <w:sz w:val="22"/>
        </w:rPr>
        <w:t xml:space="preserve">(543B)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2019.6(1)</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new licensees before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2019.6(2)</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the applicant before reinstating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2019.6(3)</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before reactivating an inactive status license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2019.6(4)</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need to attest and certify that they have current errors and omissions insurance in effect that meets Iowa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insurance compliance attested to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participating in the state group program cannot be audited if commission records indicate the insurance carrier or program manager has submitted current proof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with other insurance coverage cannot be audited if commission records indicate the current proof of coverage has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by any factor as will provide a reasonable sampling given the volume, purpose and scope of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as the result of any complaint filed with the commission whether or not adequate insurance coverage was questioned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may audit compliance with insurance coverage at any time the commission has reasonable cause to question a licensee’s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2019.6(5)</w:t>
      </w:r>
      <w:r>
        <w:rPr>
          <w:rFonts w:ascii="Times New Roman" w:hAnsi="Times New Roman"/>
          <w:b w:val="false"/>
          <w:i w:val="false"/>
          <w:color w:val="000000"/>
          <w:sz w:val="22"/>
        </w:rPr>
        <w:t> </w:t>
      </w:r>
      <w:r>
        <w:rPr>
          <w:rFonts w:ascii="Times New Roman" w:hAnsi="Times New Roman"/>
          <w:b w:val="false"/>
          <w:i w:val="false"/>
          <w:color w:val="000000"/>
          <w:sz w:val="22"/>
        </w:rPr>
        <w:t>A licensee is needed to carry insurance on an uninterrupted basis and cannot avoid discipline simply by acquiring insurance after receipt of an audit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Iowa Code section </w:t>
      </w:r>
      <w:hyperlink r:id="rId17">
        <w:r>
          <w:rPr>
            <w:rStyle w:val="Hyperlink"/>
            <w:rFonts w:ascii="Times New Roman" w:hAnsi="Times New Roman"/>
            <w:b w:val="false"/>
            <w:i w:val="false"/>
            <w:color w:val="000000"/>
            <w:sz w:val="22"/>
          </w:rPr>
          <w:t>543B.47(6)</w:t>
        </w:r>
      </w:hyperlink>
      <w:r>
        <w:rPr>
          <w:rFonts w:ascii="Times New Roman" w:hAnsi="Times New Roman"/>
          <w:b w:val="false"/>
          <w:i w:val="false"/>
          <w:color w:val="000000"/>
          <w:sz w:val="22"/>
        </w:rPr>
        <w:t xml:space="preserve"> within 20 calendar days of the commission’s request is prima facie evidence of a violation of Iowa Code sections </w:t>
      </w:r>
      <w:hyperlink r:id="rId18">
        <w:r>
          <w:rPr>
            <w:rStyle w:val="Hyperlink"/>
            <w:rFonts w:ascii="Times New Roman" w:hAnsi="Times New Roman"/>
            <w:b w:val="false"/>
            <w:i w:val="false"/>
            <w:color w:val="000000"/>
            <w:sz w:val="22"/>
          </w:rPr>
          <w:t>543B.15(5)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and is grounds for the denial of an application for licensure, the denial of an application to renew a license, or the suspension or 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2019.6(7)</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false documentation of insurance coverage, or falsely claiming to have or attesting to having insurance coverage, is prima facie evidence of violation of Iowa Code sections </w:t>
      </w:r>
      <w:hyperlink r:id="rId2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543B.34(1)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2019.6(8)</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required proof of insurability within 30 days of written notice by the commission results in the placement of the license on inactive status. A license that has been placed on inactive status pursuant to this provision is not reactivated until satisfactory evidence has been provided verifying that coverage is current and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481—2019.7</w:t>
      </w:r>
      <w:r>
        <w:rPr>
          <w:rFonts w:ascii="Times New Roman" w:hAnsi="Times New Roman"/>
          <w:b/>
          <w:i w:val="false"/>
          <w:color w:val="000000"/>
          <w:sz w:val="22"/>
        </w:rPr>
        <w:t xml:space="preserve">(543B) </w:t>
      </w:r>
      <w:r>
        <w:rPr>
          <w:rFonts w:ascii="Times New Roman" w:hAnsi="Times New Roman"/>
          <w:b/>
          <w:i w:val="false"/>
          <w:color w:val="000000"/>
          <w:sz w:val="22"/>
        </w:rPr>
        <w:t xml:space="preserve">Records and retention. </w:t>
      </w:r>
      <w:r>
        <w:rPr>
          <w:rFonts w:ascii="Times New Roman" w:hAnsi="Times New Roman"/>
          <w:b w:val="false"/>
          <w:i w:val="false"/>
          <w:color w:val="000000"/>
          <w:sz w:val="22"/>
        </w:rPr>
        <w:t>It is the responsibility of the licensee to maintain records which support the validity of the insurance. Documentation is retained by the licensee for a period of three years after the license renewal date or the anniversary of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4/26/91, Notice 3/20/91—published 5/15/92, effective 6/19/91]</w:t>
      </w:r>
    </w:p>
    <w:p>
      <w:pPr>
        <w:spacing w:before="0" w:after="0"/>
        <w:ind w:left="120"/>
        <w:jc w:val="center"/>
      </w:pPr>
      <w:r>
        <w:rPr>
          <w:rFonts w:ascii="Times New Roman" w:hAnsi="Times New Roman"/>
          <w:b w:val="false"/>
          <w:i w:val="false"/>
          <w:color w:val="000000"/>
          <w:sz w:val="21"/>
        </w:rPr>
        <w:t>[Filed 12/4/92, Notice 9/30/02—published 12/23/92, effective 1/27/93]</w:t>
      </w:r>
    </w:p>
    <w:p>
      <w:pPr>
        <w:spacing w:before="0" w:after="0"/>
        <w:ind w:left="120"/>
        <w:jc w:val="center"/>
      </w:pPr>
      <w:r>
        <w:rPr>
          <w:rFonts w:ascii="Times New Roman" w:hAnsi="Times New Roman"/>
          <w:b w:val="false"/>
          <w:i w:val="false"/>
          <w:color w:val="000000"/>
          <w:sz w:val="21"/>
        </w:rPr>
        <w:t>[Filed 1/12/95, Notice 11/23/94—published 2/1/95, effective 3/8/95]</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9458B</w:t>
      </w:r>
      <w:r>
        <w:rPr>
          <w:rFonts w:ascii="Times New Roman" w:hAnsi="Times New Roman"/>
          <w:b w:val="false"/>
          <w:i w:val="false"/>
          <w:color w:val="000000"/>
          <w:sz w:val="21"/>
        </w:rPr>
        <w:t xml:space="preserve"> (Notice ARC 9338B, IAB 1/26/11)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7781C</w:t>
      </w:r>
      <w:r>
        <w:rPr>
          <w:rFonts w:ascii="Times New Roman" w:hAnsi="Times New Roman"/>
          <w:b w:val="false"/>
          <w:i w:val="false"/>
          <w:color w:val="000000"/>
          <w:sz w:val="21"/>
        </w:rPr>
        <w:t xml:space="preserve"> (Notice ARC 7460C,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7.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47.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co/chapter/543B.47.pdf" Type="http://schemas.openxmlformats.org/officeDocument/2006/relationships/hyperlink" Id="rId10"/>
    <Relationship TargetMode="External" Target="https://www.legis.iowa.gov/docs/ico/chapter/543B.47.pdf" Type="http://schemas.openxmlformats.org/officeDocument/2006/relationships/hyperlink" Id="rId11"/>
    <Relationship TargetMode="External" Target="https://www.legis.iowa.gov/docs/ico/chapter/543B.47.pdf" Type="http://schemas.openxmlformats.org/officeDocument/2006/relationships/hyperlink" Id="rId12"/>
    <Relationship TargetMode="External" Target="https://www.legis.iowa.gov/docs/iac/rule/481.2019.3.pdf" Type="http://schemas.openxmlformats.org/officeDocument/2006/relationships/hyperlink" Id="rId13"/>
    <Relationship TargetMode="External" Target="https://www.legis.iowa.gov/docs/ico/chapter/543B.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47.pdf" Type="http://schemas.openxmlformats.org/officeDocument/2006/relationships/hyperlink" Id="rId16"/>
    <Relationship TargetMode="External" Target="https://www.legis.iowa.gov/docs/ico/chapter/543B.47.pdf" Type="http://schemas.openxmlformats.org/officeDocument/2006/relationships/hyperlink" Id="rId17"/>
    <Relationship TargetMode="External" Target="https://www.legis.iowa.gov/docs/ico/chapter/543B.15.pdf" Type="http://schemas.openxmlformats.org/officeDocument/2006/relationships/hyperlink" Id="rId18"/>
    <Relationship TargetMode="External" Target="https://www.legis.iowa.gov/docs/ico/chapter/543B.47.pdf" Type="http://schemas.openxmlformats.org/officeDocument/2006/relationships/hyperlink" Id="rId19"/>
    <Relationship TargetMode="External" Target="https://www.legis.iowa.gov/docs/ico/chapter/543B.29.pdf" Type="http://schemas.openxmlformats.org/officeDocument/2006/relationships/hyperlink" Id="rId20"/>
    <Relationship TargetMode="External" Target="https://www.legis.iowa.gov/docs/ico/chapter/543B.3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