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2018</w:t>
      </w:r>
    </w:p>
    <w:p>
      <w:pPr>
        <w:spacing w:before="0" w:after="0"/>
        <w:ind w:left="120"/>
        <w:jc w:val="center"/>
      </w:pPr>
      <w:r>
        <w:rPr>
          <w:rFonts w:ascii="Times New Roman" w:hAnsi="Times New Roman"/>
          <w:b w:val="false"/>
          <w:i w:val="false"/>
          <w:color w:val="000000"/>
          <w:sz w:val="21"/>
        </w:rPr>
        <w:t>INVESTIGATIONS AND DISCIPLINARY PROCEDURES</w:t>
      </w:r>
    </w:p>
    <w:p>
      <w:pPr>
        <w:spacing w:before="0" w:after="0"/>
        <w:ind w:left="120"/>
        <w:jc w:val="center"/>
      </w:pPr>
      <w:r>
        <w:rPr>
          <w:rFonts w:ascii="Times New Roman" w:hAnsi="Times New Roman"/>
          <w:b w:val="false"/>
          <w:i w:val="false"/>
          <w:color w:val="000000"/>
          <w:sz w:val="14"/>
        </w:rPr>
        <w:t>[Prior to 9/4/02, see 193E—Ch 4]</w:t>
      </w:r>
    </w:p>
    <w:p>
      <w:pPr>
        <w:spacing w:before="0" w:after="0"/>
        <w:ind w:left="120"/>
        <w:jc w:val="center"/>
      </w:pPr>
      <w:r>
        <w:rPr>
          <w:rFonts w:ascii="Times New Roman" w:hAnsi="Times New Roman"/>
          <w:b w:val="false"/>
          <w:i w:val="false"/>
          <w:color w:val="000000"/>
          <w:sz w:val="14"/>
        </w:rPr>
        <w:t>[Prior to 6/10/26, see Real Estate Commission[193E]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481—2018.1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and investigative authority. </w:t>
      </w:r>
      <w:r>
        <w:rPr>
          <w:rFonts w:ascii="Times New Roman" w:hAnsi="Times New Roman"/>
          <w:b w:val="false"/>
          <w:i w:val="false"/>
          <w:color w:val="000000"/>
          <w:sz w:val="22"/>
        </w:rPr>
        <w:t xml:space="preserve">The commission is empowered to administer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related administrative rules for the protection and well-being of those persons who may rely upon licensed individuals for the performance of real estate services within this state or for clients in this state. To perform these functions, the commission is broadly vested with authority, pursuant to Iowa Code sections </w:t>
      </w:r>
      <w:hyperlink r:id="rId8">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272C.3 through 272C.6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543B.9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543B.34 to 543B.41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 xml:space="preserve"> to review and investigate alleged acts or omissions of licensees, determine whether disciplinary proceedings are warranted, initiate and prosecute disciplinary proceedings, establish standards of professional conduct, and impose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commission may initiate disciplinary action against a licensee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grounds set forth in Iowa Code sections </w:t>
      </w:r>
      <w:hyperlink r:id="rId15">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the rules of professional and business conduct described in </w:t>
      </w:r>
      <w:hyperlink r:id="rId18">
        <w:r>
          <w:rPr>
            <w:rStyle w:val="Hyperlink"/>
            <w:rFonts w:ascii="Times New Roman" w:hAnsi="Times New Roman"/>
            <w:b w:val="false"/>
            <w:i w:val="false"/>
            <w:color w:val="000000"/>
            <w:sz w:val="22"/>
          </w:rPr>
          <w:t>481—Chapters 2006</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2008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2010</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2015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commission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Violation of Iowa Code sections </w:t>
      </w:r>
      <w:hyperlink r:id="rId23">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Continuing to practice real estate with an expired or inactive license, or without satisfying the continuing education mandated by </w:t>
      </w:r>
      <w:hyperlink r:id="rId25">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 xml:space="preserve"> or the errors and omissions insurance mandated by </w:t>
      </w:r>
      <w:hyperlink r:id="rId26">
        <w:r>
          <w:rPr>
            <w:rStyle w:val="Hyperlink"/>
            <w:rFonts w:ascii="Times New Roman" w:hAnsi="Times New Roman"/>
            <w:b w:val="false"/>
            <w:i w:val="false"/>
            <w:color w:val="000000"/>
            <w:sz w:val="22"/>
          </w:rPr>
          <w:t>481—Chapter 2019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Knowingly aiding or abetting a licensee, license applicant or unlicensed person in committing any act or omission which is a ground for discipline under this rule or otherwise knowingly aiding or abetting the unlicensed practice of real estate in Iowa.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fully cooperate with a licensee disciplinary investigation, including failure to respond to a commission inquiry within 14 calendar days of the date of mailing by certified mail of a written communication directed to the licensee’s last address on file at the commission office.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violation of one or more of the acts or omissions upon which civil penalties may be imposed, as described in subrule </w:t>
      </w:r>
      <w:hyperlink r:id="rId27">
        <w:r>
          <w:rPr>
            <w:rStyle w:val="Hyperlink"/>
            <w:rFonts w:ascii="Times New Roman" w:hAnsi="Times New Roman"/>
            <w:b w:val="false"/>
            <w:i w:val="false"/>
            <w:color w:val="000000"/>
            <w:sz w:val="22"/>
          </w:rPr>
          <w:t>2018.14(5)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commission may initiate a licensee disciplinary investigation upon the commission’s receipt of information suggesting that a licensee may have violated a law or rule enforced by the commission which, if true, would constitute a ground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Sources of information. </w:t>
      </w:r>
      <w:r>
        <w:rPr>
          <w:rFonts w:ascii="Times New Roman" w:hAnsi="Times New Roman"/>
          <w:b w:val="false"/>
          <w:i w:val="false"/>
          <w:color w:val="000000"/>
          <w:sz w:val="22"/>
        </w:rPr>
        <w:t>Without limitation, the following nonexclusive list of information sources may form the basis for the initiation of a disciplinary investigation or proceeding: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News articles or other media sources.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Reports filed with the commission by the commissioner of insurance pursuant to Iowa Code section </w:t>
      </w:r>
      <w:hyperlink r:id="rId28">
        <w:r>
          <w:rPr>
            <w:rStyle w:val="Hyperlink"/>
            <w:rFonts w:ascii="Times New Roman" w:hAnsi="Times New Roman"/>
            <w:b w:val="false"/>
            <w:i w:val="false"/>
            <w:color w:val="000000"/>
            <w:sz w:val="22"/>
          </w:rPr>
          <w:t>272C.4(9)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Complaints filed with the commission by any member of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 applications or other documents submitted to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Reports to the commission from any regulatory or law enforcement agency from any jurisdiction.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Commission audits of licensee compliance, such as those involving continuing education, trust accounts, or errors and omissions insurance.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commission, or if a member of the commission has a conflict of interest in any disciplinary matter before the commission, that member abstains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commission office by mail, email, online via the commission’s website, or personal delivery by any member of the public with knowledge of possible law or rule violations by licensees. Timely filing is encouraged to ensure the availability of witnesses and to avoid initiation of an investigation under conditions which may become substantially altered during a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commission which are available from the commission office and on the commission’s website. Written complaints, whether submitted on a commission complaint form or in other written medium,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which the complainant believes demonstrates that the respondent has violated or is violating laws or rules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 person is not civilly liable for filing a complaint unless such act is done with malice as provided by Iowa Code section </w:t>
      </w:r>
      <w:hyperlink r:id="rId29">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“a.”</w:t>
      </w:r>
      <w:r>
        <w:rPr>
          <w:rFonts w:ascii="Times New Roman" w:hAnsi="Times New Roman"/>
          <w:b w:val="false"/>
          <w:i w:val="false"/>
          <w:color w:val="000000"/>
          <w:sz w:val="22"/>
        </w:rPr>
        <w:t xml:space="preserve"> Employees cannot be discriminated against as a result for filing a complaint as provided by Iowa Code section </w:t>
      </w:r>
      <w:hyperlink r:id="rId30">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commission with factual information relative to the complaint. A complainant is not party to any disciplinary proceeding which may be initiated by the commission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2018.6(4)</w:t>
      </w:r>
      <w:r>
        <w:rPr>
          <w:rFonts w:ascii="Times New Roman" w:hAnsi="Times New Roman"/>
          <w:b w:val="false"/>
          <w:i w:val="false"/>
          <w:color w:val="000000"/>
          <w:sz w:val="22"/>
        </w:rPr>
        <w:t> </w:t>
      </w:r>
      <w:r>
        <w:rPr>
          <w:rFonts w:ascii="Times New Roman" w:hAnsi="Times New Roman"/>
          <w:b w:val="false"/>
          <w:i/>
          <w:color w:val="000000"/>
          <w:sz w:val="22"/>
        </w:rPr>
        <w:t xml:space="preserve">Role of the commission. </w:t>
      </w:r>
      <w:r>
        <w:rPr>
          <w:rFonts w:ascii="Times New Roman" w:hAnsi="Times New Roman"/>
          <w:b w:val="false"/>
          <w:i w:val="false"/>
          <w:color w:val="000000"/>
          <w:sz w:val="22"/>
        </w:rPr>
        <w:t>The commission does not act as an arbiter of disputes between private parties, nor does the commission initiate disciplinary proceedings to advance the private interests of any person or party. The role of the commission in the disciplinary process is to protect the public by investigating complaints and initiating disciplinary proceedings in appropriate cases. The commission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commission are initially screened by the commission’s administrator or designated staff to determine whether the allegations of the complaint fall within the commission’s investigatory jurisdiction and whether the facts presented, if true, would constitute a basis for disciplinary action against a licensee. Complaints which are clearly outside the commission’s jurisdiction, which clearly do not allege facts upon which disciplinary action would be based, or which are frivolous may be closed by the commission administrator or may be referred by the commission administrator to the commission for closure at the next scheduled commission meeting. All other complaints are referred by the commission administrator to the commission’s disciplinary committee for committee review as described in rule </w:t>
      </w:r>
      <w:hyperlink r:id="rId31">
        <w:r>
          <w:rPr>
            <w:rStyle w:val="Hyperlink"/>
            <w:rFonts w:ascii="Times New Roman" w:hAnsi="Times New Roman"/>
            <w:b w:val="false"/>
            <w:i w:val="false"/>
            <w:color w:val="000000"/>
            <w:sz w:val="22"/>
          </w:rPr>
          <w:t>481—2018.9</w:t>
        </w:r>
      </w:hyperlink>
      <w:r>
        <w:rPr>
          <w:rFonts w:ascii="Times New Roman" w:hAnsi="Times New Roman"/>
          <w:b w:val="false"/>
          <w:i w:val="false"/>
          <w:color w:val="000000"/>
          <w:sz w:val="22"/>
        </w:rPr>
        <w:t>(17A,272C,543B). If a complainant objects in writing to the closure of the complaint by the commission administrator, the administrator will refer the objection to the disciplinary committee or commission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2018.6(6)</w:t>
      </w:r>
      <w:r>
        <w:rPr>
          <w:rFonts w:ascii="Times New Roman" w:hAnsi="Times New Roman"/>
          <w:b w:val="false"/>
          <w:i w:val="false"/>
          <w:color w:val="000000"/>
          <w:sz w:val="22"/>
        </w:rPr>
        <w:t> </w:t>
      </w:r>
      <w:r>
        <w:rPr>
          <w:rFonts w:ascii="Times New Roman" w:hAnsi="Times New Roman"/>
          <w:b w:val="false"/>
          <w:i/>
          <w:color w:val="000000"/>
          <w:sz w:val="22"/>
        </w:rPr>
        <w:t xml:space="preserve">Withdrawal or amendment. </w:t>
      </w:r>
      <w:r>
        <w:rPr>
          <w:rFonts w:ascii="Times New Roman" w:hAnsi="Times New Roman"/>
          <w:b w:val="false"/>
          <w:i w:val="false"/>
          <w:color w:val="000000"/>
          <w:sz w:val="22"/>
        </w:rPr>
        <w:t>A complaint may be amended or withdrawn at any time prior to official notification of the respondent and thereafter at the sole discretion of the commission. The commission may choose to pursue a matter even after a complaint has been withdrawn.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481—2018.7</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commission or a complaint initiated by the commission, all complaint files are tracked by a case numbering system. Complaints are assigned case numbers in chronological order with the first two digits representing the year in which the complaint was received or initiated, and the second three digits representing the order in which the case file was opened (e.g., 01-001, 01-002, 01-003). The commission’s administrator maintains a case file log noting the date each case file was opened, whether disciplinary proceedings were initiated in the case, and the final disposition of the case. Once a case file number is assigned to a complaint, all persons communicating with the commission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481—2018.8</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Confidentiality of complaint and investigative information. </w:t>
      </w:r>
      <w:r>
        <w:rPr>
          <w:rFonts w:ascii="Times New Roman" w:hAnsi="Times New Roman"/>
          <w:b w:val="false"/>
          <w:i w:val="false"/>
          <w:color w:val="000000"/>
          <w:sz w:val="22"/>
        </w:rPr>
        <w:t xml:space="preserve">All complaint and investigative information received or created by the commission is privileged and confidential pursuant to Iowa Code section </w:t>
      </w:r>
      <w:hyperlink r:id="rId3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as such is not subject to discovery, subpoena, or other means of legal compulsion for release to any person except as provided in Iowa Code section </w:t>
      </w:r>
      <w:hyperlink r:id="rId3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481—2018.9</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 xml:space="preserve">The commission chair may appoint two members of the commission to serve on a commission disciplinary committee. The chair may appoint a standing committee or may appoint different members to serve on the committee on an as-needed basis. The disciplinary committee is a purely advisory body which reviews complaint files referred by the commission’s administrator, generally supervises the investigation of complaints, and makes recommendations to the full commission on the disposition of complaints. Except as provided by rule </w:t>
      </w:r>
      <w:hyperlink r:id="rId34">
        <w:r>
          <w:rPr>
            <w:rStyle w:val="Hyperlink"/>
            <w:rFonts w:ascii="Times New Roman" w:hAnsi="Times New Roman"/>
            <w:b w:val="false"/>
            <w:i w:val="false"/>
            <w:color w:val="000000"/>
            <w:sz w:val="22"/>
          </w:rPr>
          <w:t>481—2018.10</w:t>
        </w:r>
      </w:hyperlink>
      <w:r>
        <w:rPr>
          <w:rFonts w:ascii="Times New Roman" w:hAnsi="Times New Roman"/>
          <w:b w:val="false"/>
          <w:i w:val="false"/>
          <w:color w:val="000000"/>
          <w:sz w:val="22"/>
        </w:rPr>
        <w:t>(17A,272C,543B), members of the committee do not personally investigate complaints, but they may review the investigative work product of others in formulating recommendations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commission’s administrator or from the full commission, the committee determines whether the complaint presents facts which, if true, suggest that a licensee may have violated a law or rule enforced by the commission. If the committee concludes that the complaint does not present facts which suggest such a violation or that the complaint does not otherwise constitute an appropriate basis for disciplinary action, the committee refers the complaint to the full commission with the recommendation that it be closed with no further action. If the committee determines that the complaint does present a credible basis for disciplinary action, the committee may either immediately refer the complaint to the full commission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 review committee, provide the licensee an opportunity to appear before the disciplinary committee for an informal discussion as described in rule </w:t>
      </w:r>
      <w:hyperlink r:id="rId35">
        <w:r>
          <w:rPr>
            <w:rStyle w:val="Hyperlink"/>
            <w:rFonts w:ascii="Times New Roman" w:hAnsi="Times New Roman"/>
            <w:b w:val="false"/>
            <w:i w:val="false"/>
            <w:color w:val="000000"/>
            <w:sz w:val="22"/>
          </w:rPr>
          <w:t>481—2018.10</w:t>
        </w:r>
      </w:hyperlink>
      <w:r>
        <w:rPr>
          <w:rFonts w:ascii="Times New Roman" w:hAnsi="Times New Roman"/>
          <w:b w:val="false"/>
          <w:i w:val="false"/>
          <w:color w:val="000000"/>
          <w:sz w:val="22"/>
        </w:rPr>
        <w:t>(17A,272C,543B) or request commission staff to conduct further investigation. Upon completion of an investigation, the investigator, expert consultant, peer review committee or commission staff presents a report to the committee. The committee reviews the report and determines what further action is necessary.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commission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commission has been violated, but that disciplinary action is unwarranted on other grounds, and refer the case to the full commission with the recommendation of closure. The committee may also recommend that the licensee be informally cautioned or educated about matters which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either attempt informal settlement, subject to approval by the full commission, or refer the case to the full commission with the recommendation that the commission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Stay further action on the complaint if, for instance, there is a pending criminal case or civil litigation and the committee feels it would be in the best interest of the public and respondent to await the final outcome of the litigation. Additionally, the committee may stay further action on a complaint when the respondent’s license is expired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2018.9(4)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The commission is authorized in connection with a disciplinary investigation to issue subpoenas to compel witnesses to testify or persons to produce books, papers, records and any other real evidence, whether or not privileged or confidential under law, which the commission deems necessary as evidence in connection with a disciplinary proceeding or relevant to the decision of whether to initiate a disciplinary proceeding, pursuant to Iowa Code sections </w:t>
      </w:r>
      <w:hyperlink r:id="rId3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543B.36</w:t>
        </w:r>
      </w:hyperlink>
      <w:r>
        <w:rPr>
          <w:rFonts w:ascii="Times New Roman" w:hAnsi="Times New Roman"/>
          <w:b w:val="false"/>
          <w:i w:val="false"/>
          <w:color w:val="000000"/>
          <w:sz w:val="22"/>
        </w:rPr>
        <w:t xml:space="preserve">. Commission procedures concerning investigative subpoenas are set forth in rule </w:t>
      </w:r>
      <w:hyperlink r:id="rId39">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481—2018.10</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commission determines whether probable cause exists to initiate a disciplinary proceeding. Licensees are not obligated to attend an informal discussion. Because disciplinary investigations are confidential, the licensee cannot bring other persons to an informal discussion, but licensees may be represented by legal counsel. When an allegation is made against a firm, the firm may be represented by the designated broker,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commission members or staff who personally investigate a disciplinary complaint are disqualified from making decisions or assisting the decision makers at a later formal hearing. Because commission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commission members to participate in commission decision making and to receive the advice of staff, licensees who desire to attend an informal discussion therefore waive their right to seek disqualification of a commission member or staff based solely on the commission member’s or staff’s participation in an informal discussion. Licensees would not be waiving their right to seek disqualification on any other ground. By electing to attend an informal discussion, a licensee accordingly agrees that a participating commission member or staff person is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commission’s investigation of a pending disciplinary case, the facts discussed at the informal discussion may be considered by the commission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commission approval, may propose a consent order at the time of the informal discussion. If the licensee agrees to a consent order, a statement of charges is filed simultaneously with the consent order, as provided in rule </w:t>
      </w:r>
      <w:hyperlink r:id="rId40">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 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administrator pursuant to subrule </w:t>
      </w:r>
      <w:hyperlink r:id="rId41">
        <w:r>
          <w:rPr>
            <w:rStyle w:val="Hyperlink"/>
            <w:rFonts w:ascii="Times New Roman" w:hAnsi="Times New Roman"/>
            <w:b w:val="false"/>
            <w:i w:val="false"/>
            <w:color w:val="000000"/>
            <w:sz w:val="22"/>
          </w:rPr>
          <w:t>2018.6(5)</w:t>
        </w:r>
      </w:hyperlink>
      <w:r>
        <w:rPr>
          <w:rFonts w:ascii="Times New Roman" w:hAnsi="Times New Roman"/>
          <w:b w:val="false"/>
          <w:i w:val="false"/>
          <w:color w:val="000000"/>
          <w:sz w:val="22"/>
        </w:rPr>
        <w:t xml:space="preserve">, the recommendation of the disciplinary committee pursuant to rule </w:t>
      </w:r>
      <w:hyperlink r:id="rId42">
        <w:r>
          <w:rPr>
            <w:rStyle w:val="Hyperlink"/>
            <w:rFonts w:ascii="Times New Roman" w:hAnsi="Times New Roman"/>
            <w:b w:val="false"/>
            <w:i w:val="false"/>
            <w:color w:val="000000"/>
            <w:sz w:val="22"/>
          </w:rPr>
          <w:t>481—2018.9</w:t>
        </w:r>
      </w:hyperlink>
      <w:r>
        <w:rPr>
          <w:rFonts w:ascii="Times New Roman" w:hAnsi="Times New Roman"/>
          <w:b w:val="false"/>
          <w:i w:val="false"/>
          <w:color w:val="000000"/>
          <w:sz w:val="22"/>
        </w:rPr>
        <w:t>(17A,272C,543B), or on its own motion, the commission may close a complaint file, with or without prior investigation. Given the broad scope of matters about which members of the public may complain, it is not possible to catalog all possible reasons why the commission may close a complaint file. The commission will take into consideration the severity of the alleged violation, the sufficiency of the evidence, the possibility that the problem can be better resolved by other means available to the parties, whether the matter has been the subject of a local board proceeding, the clarity of the laws and rules which support the alleged violation, whether the alleged violation is likely to recur, the past record of the licensee, whether the licensee has previously received a cautionary letter concerning the act or omission at issue, and other factors relevant to the specific facts of the complaint. The following nonexclusive list illustrates the grounds upon which the commission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outside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does not allege a reasonable or credible basis to believe that the subject of the complaint violated a law or rule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is frivolous or trivial.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more appropriately resolved in a different forum, such as civil litigation to resolve a contract dispute, or more appropriately addressed by alternative procedures, such as outreach education or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matters raised in the complaint are situational, isolated, or unrepresentative of a licensee’s typical practice, and the licensee has taken appropriate steps to ensure future compliance and prevent public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Resources are unavailable or better directed to other complaints or commission initiatives in light of the commission’s overall budget and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Extenuating factors exist which weigh against the imposition of public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 xml:space="preserve">The commission’s administrator may enter an order stating the basis for the commission’s decision to close a complaint file. If entered, the order cannot contain the identity of the complainant or the respondent, and cannot disclose confidential complaint or investigative information. If entered, closing orders will be indexed by case number and are a public record pursuant to Iowa Code section </w:t>
      </w:r>
      <w:hyperlink r:id="rId43">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commission’s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When a complaint file is closed, the commission may issue a confidential letter of caution to a licensee which informally cautions or educates the licensee about matters which could form the basis for disciplinary action in the future if corrective action is not taken by the licensee. Informal cautionary letters do not constitute disciplinary action, but the commission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commission may reopen a closed complaint file if, after closure, additional information arises which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commission at a public meeting. Commission members who are disqualified are not included in determining whether a quorum exists. When two or more members of the commission are disqualified or otherwise unavailable for any reason, the administrator may request the special appointment of one or more substitute commission members pursuant to Iowa Code section </w:t>
      </w:r>
      <w:hyperlink r:id="rId4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Iowa Code chapter </w:t>
      </w:r>
      <w:hyperlink r:id="rId4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 in this chapter, all of the procedures set forth in </w:t>
      </w:r>
      <w:hyperlink r:id="rId4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applies to disciplinary contested cases initiated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commission has authority to impose, alone or in combination,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for a period of time or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Ban permanently, until further order of the commission, or for a specified period of time, the engagement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 As a condition to a period of probation, the commission may impose terms and conditions deemed appropriate by the commission including, but not limited to, substance abuse evaluation and such care and treatment as recommended in the evaluation or otherwise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Mandate additional continuing education. The commission may specify that a designated amount of continuing education be taken in specific subjects and may specify the time period for completing these courses. The commission may also specify whether this continuing education be in addition to the continuing education routinely needed for license renewal. The commission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Impose a monitoring or supervision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Downgrade a license from a broker license to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Order a physical or mental examination with periodic reports to the commission,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the amount of which is at the discretion of the commission, but does not exceed $2,500 per violation as authorized by Iowa Code section </w:t>
      </w:r>
      <w:hyperlink r:id="rId47">
        <w:r>
          <w:rPr>
            <w:rStyle w:val="Hyperlink"/>
            <w:rFonts w:ascii="Times New Roman" w:hAnsi="Times New Roman"/>
            <w:b w:val="false"/>
            <w:i w:val="false"/>
            <w:color w:val="000000"/>
            <w:sz w:val="22"/>
          </w:rPr>
          <w:t>543B.48</w:t>
        </w:r>
      </w:hyperlink>
      <w:r>
        <w:rPr>
          <w:rFonts w:ascii="Times New Roman" w:hAnsi="Times New Roman"/>
          <w:b w:val="false"/>
          <w:i w:val="false"/>
          <w:color w:val="000000"/>
          <w:sz w:val="22"/>
        </w:rPr>
        <w:t xml:space="preserve">. Civil penalties may be imposed for any of the disciplinary violations specified in rule </w:t>
      </w:r>
      <w:hyperlink r:id="rId48">
        <w:r>
          <w:rPr>
            <w:rStyle w:val="Hyperlink"/>
            <w:rFonts w:ascii="Times New Roman" w:hAnsi="Times New Roman"/>
            <w:b w:val="false"/>
            <w:i w:val="false"/>
            <w:color w:val="000000"/>
            <w:sz w:val="22"/>
          </w:rPr>
          <w:t>481—2018.2</w:t>
        </w:r>
      </w:hyperlink>
      <w:r>
        <w:rPr>
          <w:rFonts w:ascii="Times New Roman" w:hAnsi="Times New Roman"/>
          <w:b w:val="false"/>
          <w:i w:val="false"/>
          <w:color w:val="000000"/>
          <w:sz w:val="22"/>
        </w:rPr>
        <w:t xml:space="preserve">(17A,272C,543B) and as listed in subrule </w:t>
      </w:r>
      <w:hyperlink r:id="rId49">
        <w:r>
          <w:rPr>
            <w:rStyle w:val="Hyperlink"/>
            <w:rFonts w:ascii="Times New Roman" w:hAnsi="Times New Roman"/>
            <w:b w:val="false"/>
            <w:i w:val="false"/>
            <w:color w:val="000000"/>
            <w:sz w:val="22"/>
          </w:rPr>
          <w:t>2018.14(5)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 xml:space="preserve">Discipline may only be imposed against a licensee by the authorization of Iowa Code section </w:t>
      </w:r>
      <w:hyperlink r:id="rId50">
        <w:r>
          <w:rPr>
            <w:rStyle w:val="Hyperlink"/>
            <w:rFonts w:ascii="Times New Roman" w:hAnsi="Times New Roman"/>
            <w:b w:val="false"/>
            <w:i w:val="false"/>
            <w:color w:val="000000"/>
            <w:sz w:val="22"/>
          </w:rPr>
          <w:t>272C.6(5)</w:t>
        </w:r>
      </w:hyperlink>
      <w:r>
        <w:rPr>
          <w:rFonts w:ascii="Times New Roman" w:hAnsi="Times New Roman"/>
          <w:b w:val="false"/>
          <w:i w:val="false"/>
          <w:color w:val="000000"/>
          <w:sz w:val="22"/>
        </w:rPr>
        <w:t>. When determining the nature and severity of the sanction to be imposed against a particular licensee or groups of licensees, 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 as it relates to assuring the citizens of this state professional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Seriousness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impact of the particular activity upon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Such other factors as may reflect upon the competency, ethical standards and professional conduct of the licensee, including those listed in subrule </w:t>
      </w:r>
      <w:hyperlink r:id="rId51">
        <w:r>
          <w:rPr>
            <w:rStyle w:val="Hyperlink"/>
            <w:rFonts w:ascii="Times New Roman" w:hAnsi="Times New Roman"/>
            <w:b w:val="false"/>
            <w:i w:val="false"/>
            <w:color w:val="000000"/>
            <w:sz w:val="22"/>
          </w:rPr>
          <w:t>2018.14(6)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commission may accept the voluntary surrender of a license to resolve a pending disciplinary contested case or pending disciplinary investigation. The commission cannot accept a voluntary surrender of a license to resolve a pending disciplinary investigation unless a statement of charges is filed along with the order accepting the voluntary surrender. Such a voluntary surrender is considered disciplinary action and is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2018.14(4)</w:t>
      </w:r>
      <w:r>
        <w:rPr>
          <w:rFonts w:ascii="Times New Roman" w:hAnsi="Times New Roman"/>
          <w:b w:val="false"/>
          <w:i w:val="false"/>
          <w:color w:val="000000"/>
          <w:sz w:val="22"/>
        </w:rPr>
        <w:t> </w:t>
      </w:r>
      <w:r>
        <w:rPr>
          <w:rFonts w:ascii="Times New Roman" w:hAnsi="Times New Roman"/>
          <w:b w:val="false"/>
          <w:i/>
          <w:color w:val="000000"/>
          <w:sz w:val="22"/>
        </w:rPr>
        <w:t xml:space="preserve">Notification criteria. </w:t>
      </w:r>
      <w:r>
        <w:rPr>
          <w:rFonts w:ascii="Times New Roman" w:hAnsi="Times New Roman"/>
          <w:b w:val="false"/>
          <w:i w:val="false"/>
          <w:color w:val="000000"/>
          <w:sz w:val="22"/>
        </w:rPr>
        <w:t xml:space="preserve">Whenever a broker’s license is revoked, suspended, limited, or voluntarily surrendered under this chapter, the licensee follows the procedures set forth in rule </w:t>
      </w:r>
      <w:hyperlink r:id="rId52">
        <w:r>
          <w:rPr>
            <w:rStyle w:val="Hyperlink"/>
            <w:rFonts w:ascii="Times New Roman" w:hAnsi="Times New Roman"/>
            <w:b w:val="false"/>
            <w:i w:val="false"/>
            <w:color w:val="000000"/>
            <w:sz w:val="22"/>
          </w:rPr>
          <w:t>481—2007.3</w:t>
        </w:r>
      </w:hyperlink>
      <w:r>
        <w:rPr>
          <w:rFonts w:ascii="Times New Roman" w:hAnsi="Times New Roman"/>
          <w:b w:val="false"/>
          <w:i w:val="false"/>
          <w:color w:val="000000"/>
          <w:sz w:val="22"/>
        </w:rPr>
        <w:t>(543B). Strict compliance with these procedures is a condition for an application for reinstatement. Whenever a salesperson’s or broker associate’s license is revoked, suspended, limited, or voluntarily surrendered under this chapter, the licensee immediately notifies the licensee’s broker,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days of receipt of the commission’s final order, notifies in writing all clients of the fact that the license has been revoked, suspended, limited, or voluntarily surrendered. Such notice advises the client to immediately contact the broker, unless the limitation at issue would not impact the real estate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commission’s final order, the licensee files with the commission copies of the notices sent pursuant to paragraph </w:t>
      </w:r>
      <w:hyperlink r:id="rId53">
        <w:r>
          <w:rPr>
            <w:rStyle w:val="Hyperlink"/>
            <w:rFonts w:ascii="Times New Roman" w:hAnsi="Times New Roman"/>
            <w:b w:val="false"/>
            <w:i w:val="false"/>
            <w:color w:val="000000"/>
            <w:sz w:val="22"/>
          </w:rPr>
          <w:t>2018.14(4)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criteria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2018.14(5)</w:t>
      </w:r>
      <w:r>
        <w:rPr>
          <w:rFonts w:ascii="Times New Roman" w:hAnsi="Times New Roman"/>
          <w:b w:val="false"/>
          <w:i w:val="false"/>
          <w:color w:val="000000"/>
          <w:sz w:val="22"/>
        </w:rPr>
        <w:t> </w:t>
      </w:r>
      <w:r>
        <w:rPr>
          <w:rFonts w:ascii="Times New Roman" w:hAnsi="Times New Roman"/>
          <w:b w:val="false"/>
          <w:i/>
          <w:color w:val="000000"/>
          <w:sz w:val="22"/>
        </w:rPr>
        <w:t xml:space="preserve">Violations for which civil penalties may be imposed. </w:t>
      </w:r>
      <w:r>
        <w:rPr>
          <w:rFonts w:ascii="Times New Roman" w:hAnsi="Times New Roman"/>
          <w:b w:val="false"/>
          <w:i w:val="false"/>
          <w:color w:val="000000"/>
          <w:sz w:val="22"/>
        </w:rPr>
        <w:t>The following is a nonexclusive list of violations upon which civil penalties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activities requiring a license when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maintain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Improper care and custody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properly display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return license in a timely manner (received within 72 hours as provided by 481—subrules </w:t>
      </w:r>
      <w:hyperlink r:id="rId54">
        <w:r>
          <w:rPr>
            <w:rStyle w:val="Hyperlink"/>
            <w:rFonts w:ascii="Times New Roman" w:hAnsi="Times New Roman"/>
            <w:b w:val="false"/>
            <w:i w:val="false"/>
            <w:color w:val="000000"/>
            <w:sz w:val="22"/>
          </w:rPr>
          <w:t>2006.1(1)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2006.1(2)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notify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provide mailing address of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inform commission and remit necessary fees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changing business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changing status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changing form of firm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opening a trust account by not filing a consent to examine for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changing residence address or mailing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independently obtained errors and omissions insurance status, coverage or provider changes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inadequate transaction records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maintain a general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maintain individual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retain records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trust account and closing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deposit funds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Disbursing trust funds prior to closing without written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earnest money unlawfully when the transaction fails to consummate.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obtain escrow agreement for undisbursed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Failing to remit and account for interest on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Computing closing statements improperly.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Failing to provide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Retaining excess personal funds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Failing as a salesperson or broker associate to immediately turn funds over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deposit trust funds in interest-bearing account in accordance with Iowa Code section </w:t>
      </w:r>
      <w:hyperlink r:id="rId5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account for and remit to the state accrued interest due in accordance with Iowa Code section </w:t>
      </w:r>
      <w:hyperlink r:id="rId57">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present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Advertising without identifying broker or clearly indicating advertisement is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Failing to provide information to the commission when requested relative to a complaint (14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obtain all signatures needed on contracts or to obtain signatures or initials of all parties to changes in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Placing a sign on property without consent, or failure to remove a sign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Failing to furnish a progress report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by a broker to supervise salespersons or broker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by a broker associate or salesperson to keep the employing broker informed.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to the commission for any reason or to anyone else in the individual’s capacity as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on the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Engaging in conduct which constitutes a barred practice or tying arrangement as banned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inform clients of real estate brokerage firm of the date the firm will cease to be in business and the effect upon sellers’ listing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have a brokerage agreement signed as outlined in Iowa Code section </w:t>
      </w:r>
      <w:hyperlink r:id="rId58">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remaining provisions in </w:t>
      </w:r>
      <w:hyperlink r:id="rId59">
        <w:r>
          <w:rPr>
            <w:rStyle w:val="Hyperlink"/>
            <w:rFonts w:ascii="Times New Roman" w:hAnsi="Times New Roman"/>
            <w:b w:val="false"/>
            <w:i w:val="false"/>
            <w:color w:val="000000"/>
            <w:sz w:val="22"/>
          </w:rPr>
          <w:t>481—Chapters 2001</w:t>
        </w:r>
      </w:hyperlink>
      <w:r>
        <w:rPr>
          <w:rFonts w:ascii="Times New Roman" w:hAnsi="Times New Roman"/>
          <w:b w:val="false"/>
          <w:i w:val="false"/>
          <w:color w:val="000000"/>
          <w:sz w:val="22"/>
        </w:rPr>
        <w:t xml:space="preserve"> through </w:t>
      </w:r>
      <w:hyperlink r:id="rId60">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that have not heretofore been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2018.14(6)</w:t>
      </w:r>
      <w:r>
        <w:rPr>
          <w:rFonts w:ascii="Times New Roman" w:hAnsi="Times New Roman"/>
          <w:b w:val="false"/>
          <w:i w:val="false"/>
          <w:color w:val="000000"/>
          <w:sz w:val="22"/>
        </w:rPr>
        <w:t> </w:t>
      </w:r>
      <w:r>
        <w:rPr>
          <w:rFonts w:ascii="Times New Roman" w:hAnsi="Times New Roman"/>
          <w:b w:val="false"/>
          <w:i/>
          <w:color w:val="000000"/>
          <w:sz w:val="22"/>
        </w:rPr>
        <w:t xml:space="preserve">Amount of civil penalties. </w:t>
      </w:r>
      <w:r>
        <w:rPr>
          <w:rFonts w:ascii="Times New Roman" w:hAnsi="Times New Roman"/>
          <w:b w:val="false"/>
          <w:i w:val="false"/>
          <w:color w:val="000000"/>
          <w:sz w:val="22"/>
        </w:rPr>
        <w:t>Factors the commission may consider when determining whether to assess and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with a lapsed, inactive, suspended, limited or revoked license improperly engaged in practices which need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9250C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481—2018.15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term “reinstatement” as used in this rule includes both the reinstatement of a suspended license and the issuance of a new license following the revocation, voluntary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commission, or who has voluntarily surrendered a license to the commission or has agreed to a voluntary revocation of a license, may apply to the commission for reinstatement in accordance with the terms of the order of revocation, voluntary surrender, voluntary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voluntary revocation, voluntary surrender, or suspension did not establish terms upon which reinstatement might occur, initial application for reinstatement cannot be made until at least two years have elapsed from the date of the order or the date the commission accepted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2018.15(3)</w:t>
      </w:r>
      <w:r>
        <w:rPr>
          <w:rFonts w:ascii="Times New Roman" w:hAnsi="Times New Roman"/>
          <w:b w:val="false"/>
          <w:i w:val="false"/>
          <w:color w:val="000000"/>
          <w:sz w:val="22"/>
        </w:rPr>
        <w:t> </w:t>
      </w:r>
      <w:r>
        <w:rPr>
          <w:rFonts w:ascii="Times New Roman" w:hAnsi="Times New Roman"/>
          <w:b w:val="false"/>
          <w:i w:val="false"/>
          <w:color w:val="000000"/>
          <w:sz w:val="22"/>
        </w:rPr>
        <w:t>Following the revocation or surrender of a broker or salesperson license, an applicant for reinstatement, as a condition of reinstatement, start over as an original applicant for a salesperson license, regardless of the type of license the applicant previously held. The applicant is obligated to satisfy all preconditions for licensure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rule </w:t>
      </w:r>
      <w:hyperlink r:id="rId61">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(272C), 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an applicant’s request to appear informally before the commission prior to the issuance of a notice of hearing on an application to reinstate if the applicant requests an informal appearance in the application and agrees not to seek to disqualify, on the ground of personal investigation, commission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commission deems desirable, which may include one or more of the types of disciplinary sanctions described in rule </w:t>
      </w:r>
      <w:hyperlink r:id="rId62">
        <w:r>
          <w:rPr>
            <w:rStyle w:val="Hyperlink"/>
            <w:rFonts w:ascii="Times New Roman" w:hAnsi="Times New Roman"/>
            <w:b w:val="false"/>
            <w:i w:val="false"/>
            <w:color w:val="000000"/>
            <w:sz w:val="22"/>
          </w:rPr>
          <w:t>481—2018.14</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cannot grant an application for reinstatement when the initial order which revoked, suspended or limited the license; denied license renewal; or accepted a voluntary surrender was based on a criminal conviction and the applicant cannot demonstrate to the commission’s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3/2/83—published 5/25/83, effective 7/1/83]</w:t>
      </w:r>
    </w:p>
    <w:p>
      <w:pPr>
        <w:spacing w:before="0" w:after="0"/>
        <w:ind w:left="120"/>
        <w:jc w:val="center"/>
      </w:pPr>
      <w:r>
        <w:rPr>
          <w:rFonts w:ascii="Times New Roman" w:hAnsi="Times New Roman"/>
          <w:b w:val="false"/>
          <w:i w:val="false"/>
          <w:color w:val="000000"/>
          <w:sz w:val="21"/>
        </w:rPr>
        <w:t>[Filed 10/7/83, Notice 8/17/83—published 10/26/83, effective 12/2/83]</w:t>
      </w:r>
    </w:p>
    <w:p>
      <w:pPr>
        <w:spacing w:before="0" w:after="0"/>
        <w:ind w:left="120"/>
        <w:jc w:val="center"/>
      </w:pPr>
      <w:r>
        <w:rPr>
          <w:rFonts w:ascii="Times New Roman" w:hAnsi="Times New Roman"/>
          <w:b w:val="false"/>
          <w:i w:val="false"/>
          <w:color w:val="000000"/>
          <w:sz w:val="21"/>
        </w:rPr>
        <w:t>[Filed 2/10/84, Notice 11/23/83—published 2/29/84, effective 4/4/84]</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1/12/95, Notice 11/23/94—published 2/1/95, effective 3/8/95]</w:t>
      </w:r>
    </w:p>
    <w:p>
      <w:pPr>
        <w:spacing w:before="0" w:after="0"/>
        <w:ind w:left="120"/>
        <w:jc w:val="center"/>
      </w:pPr>
      <w:r>
        <w:rPr>
          <w:rFonts w:ascii="Times New Roman" w:hAnsi="Times New Roman"/>
          <w:b w:val="false"/>
          <w:i w:val="false"/>
          <w:color w:val="000000"/>
          <w:sz w:val="21"/>
        </w:rPr>
        <w:t>[Filed 3/21/96, Notice 1/3/96—published 4/10/96, effective 5/15/96]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7780C</w:t>
      </w:r>
      <w:r>
        <w:rPr>
          <w:rFonts w:ascii="Times New Roman" w:hAnsi="Times New Roman"/>
          <w:b w:val="false"/>
          <w:i w:val="false"/>
          <w:color w:val="000000"/>
          <w:sz w:val="21"/>
        </w:rPr>
        <w:t xml:space="preserve"> (Notice ARC 7459C,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9250C</w:t>
      </w:r>
      <w:r>
        <w:rPr>
          <w:rFonts w:ascii="Times New Roman" w:hAnsi="Times New Roman"/>
          <w:b w:val="false"/>
          <w:i w:val="false"/>
          <w:color w:val="000000"/>
          <w:sz w:val="21"/>
        </w:rPr>
        <w:t xml:space="preserve"> (Notice ARC 8859C,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(8/14/91) of amendments to 4.40(4)</w:t>
      </w:r>
      <w:r>
        <w:rPr>
          <w:rFonts w:ascii="Times New Roman" w:hAnsi="Times New Roman"/>
          <w:b w:val="false"/>
          <w:i/>
          <w:color w:val="000000"/>
          <w:sz w:val="22"/>
        </w:rPr>
        <w:t>“e,” “f”</w:t>
      </w:r>
      <w:r>
        <w:rPr>
          <w:rFonts w:ascii="Times New Roman" w:hAnsi="Times New Roman"/>
          <w:b w:val="false"/>
          <w:i w:val="false"/>
          <w:color w:val="000000"/>
          <w:sz w:val="22"/>
        </w:rPr>
        <w:t>; and 4.40(17-19) delayed 70 days by the Administrative Rules Review Committee. Delay lifted 8/21/91, effective 8/22/91.</w:t>
      </w:r>
    </w:p>
    <w:sectPr>
      <w:footerReference r:id="rId6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17A.13.pdf" Type="http://schemas.openxmlformats.org/officeDocument/2006/relationships/hyperlink" Id="rId8"/>
    <Relationship TargetMode="External" Target="https://www.legis.iowa.gov/docs/ico/chapter/272C.3-6.pdf" Type="http://schemas.openxmlformats.org/officeDocument/2006/relationships/hyperlink" Id="rId9"/>
    <Relationship TargetMode="External" Target="https://www.legis.iowa.gov/docs/ico/chapter/272C.10.pdf" Type="http://schemas.openxmlformats.org/officeDocument/2006/relationships/hyperlink" Id="rId10"/>
    <Relationship TargetMode="External" Target="https://www.legis.iowa.gov/docs/ico/chapter/543B.9.pdf" Type="http://schemas.openxmlformats.org/officeDocument/2006/relationships/hyperlink" Id="rId11"/>
    <Relationship TargetMode="External" Target="https://www.legis.iowa.gov/docs/ico/chapter/543B.29.pdf" Type="http://schemas.openxmlformats.org/officeDocument/2006/relationships/hyperlink" Id="rId12"/>
    <Relationship TargetMode="External" Target="https://www.legis.iowa.gov/docs/ico/chapter/543B.34-41.pdf" Type="http://schemas.openxmlformats.org/officeDocument/2006/relationships/hyperlink" Id="rId13"/>
    <Relationship TargetMode="External" Target="https://www.legis.iowa.gov/docs/ico/chapter/543B.61.pdf" Type="http://schemas.openxmlformats.org/officeDocument/2006/relationships/hyperlink" Id="rId14"/>
    <Relationship TargetMode="External" Target="https://www.legis.iowa.gov/docs/ico/chapter/543B.29.pdf" Type="http://schemas.openxmlformats.org/officeDocument/2006/relationships/hyperlink" Id="rId15"/>
    <Relationship TargetMode="External" Target="https://www.legis.iowa.gov/docs/ico/chapter/543B.34.pdf" Type="http://schemas.openxmlformats.org/officeDocument/2006/relationships/hyperlink" Id="rId16"/>
    <Relationship TargetMode="External" Target="https://www.legis.iowa.gov/docs/ico/chapter/543B.61.pdf" Type="http://schemas.openxmlformats.org/officeDocument/2006/relationships/hyperlink" Id="rId17"/>
    <Relationship TargetMode="External" Target="https://www.legis.iowa.gov/docs/iac/chapter/481.2006.pdf" Type="http://schemas.openxmlformats.org/officeDocument/2006/relationships/hyperlink" Id="rId18"/>
    <Relationship TargetMode="External" Target="https://www.legis.iowa.gov/docs/iac/chapter/481.2008.pdf" Type="http://schemas.openxmlformats.org/officeDocument/2006/relationships/hyperlink" Id="rId19"/>
    <Relationship TargetMode="External" Target="https://www.legis.iowa.gov/docs/iac/chapter/481.2010.pdf" Type="http://schemas.openxmlformats.org/officeDocument/2006/relationships/hyperlink" Id="rId20"/>
    <Relationship TargetMode="External" Target="https://www.legis.iowa.gov/docs/iac/chapter/481.2015.pdf" Type="http://schemas.openxmlformats.org/officeDocument/2006/relationships/hyperlink" Id="rId21"/>
    <Relationship TargetMode="External" Target="https://www.legis.iowa.gov/docs/iac/chapter/481.2019.pdf" Type="http://schemas.openxmlformats.org/officeDocument/2006/relationships/hyperlink" Id="rId22"/>
    <Relationship TargetMode="External" Target="https://www.legis.iowa.gov/docs/ico/chapter/272C.3.pdf" Type="http://schemas.openxmlformats.org/officeDocument/2006/relationships/hyperlink" Id="rId23"/>
    <Relationship TargetMode="External" Target="https://www.legis.iowa.gov/docs/ico/chapter/272C.10.pdf" Type="http://schemas.openxmlformats.org/officeDocument/2006/relationships/hyperlink" Id="rId24"/>
    <Relationship TargetMode="External" Target="https://www.legis.iowa.gov/docs/iac/chapter/481.2016.pdf" Type="http://schemas.openxmlformats.org/officeDocument/2006/relationships/hyperlink" Id="rId25"/>
    <Relationship TargetMode="External" Target="https://www.legis.iowa.gov/docs/iac/chapter/481.2019.pdf" Type="http://schemas.openxmlformats.org/officeDocument/2006/relationships/hyperlink" Id="rId26"/>
    <Relationship TargetMode="External" Target="https://www.legis.iowa.gov/docs/iac/rule/481.2018.14.pdf" Type="http://schemas.openxmlformats.org/officeDocument/2006/relationships/hyperlink" Id="rId27"/>
    <Relationship TargetMode="External" Target="https://www.legis.iowa.gov/docs/ico/chapter/272C.4.pdf" Type="http://schemas.openxmlformats.org/officeDocument/2006/relationships/hyperlink" Id="rId28"/>
    <Relationship TargetMode="External" Target="https://www.legis.iowa.gov/docs/ico/chapter/272C.8.pdf" Type="http://schemas.openxmlformats.org/officeDocument/2006/relationships/hyperlink" Id="rId29"/>
    <Relationship TargetMode="External" Target="https://www.legis.iowa.gov/docs/ico/chapter/272C.8.pdf" Type="http://schemas.openxmlformats.org/officeDocument/2006/relationships/hyperlink" Id="rId30"/>
    <Relationship TargetMode="External" Target="https://www.legis.iowa.gov/docs/iac/rule/481.2018.9.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272C.6.pdf" Type="http://schemas.openxmlformats.org/officeDocument/2006/relationships/hyperlink" Id="rId33"/>
    <Relationship TargetMode="External" Target="https://www.legis.iowa.gov/docs/iac/rule/481.2018.10.pdf" Type="http://schemas.openxmlformats.org/officeDocument/2006/relationships/hyperlink" Id="rId34"/>
    <Relationship TargetMode="External" Target="https://www.legis.iowa.gov/docs/iac/rule/481.2018.10.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co/chapter/543B.36.pdf" Type="http://schemas.openxmlformats.org/officeDocument/2006/relationships/hyperlink" Id="rId38"/>
    <Relationship TargetMode="External" Target="https://www.legis.iowa.gov/docs/iac/rule/481.503.5.pdf" Type="http://schemas.openxmlformats.org/officeDocument/2006/relationships/hyperlink" Id="rId39"/>
    <Relationship TargetMode="External" Target="https://www.legis.iowa.gov/docs/iac/rule/481.506.35.pdf" Type="http://schemas.openxmlformats.org/officeDocument/2006/relationships/hyperlink" Id="rId40"/>
    <Relationship TargetMode="External" Target="https://www.legis.iowa.gov/docs/iac/rule/481.2018.6.pdf" Type="http://schemas.openxmlformats.org/officeDocument/2006/relationships/hyperlink" Id="rId41"/>
    <Relationship TargetMode="External" Target="https://www.legis.iowa.gov/docs/iac/rule/481.2018.9.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17A.11.pdf" Type="http://schemas.openxmlformats.org/officeDocument/2006/relationships/hyperlink" Id="rId44"/>
    <Relationship TargetMode="External" Target="https://www.legis.iowa.gov/docs/ico/chapter/543B.pdf" Type="http://schemas.openxmlformats.org/officeDocument/2006/relationships/hyperlink" Id="rId45"/>
    <Relationship TargetMode="External" Target="https://www.legis.iowa.gov/docs/iac/chapter/481.506.pdf" Type="http://schemas.openxmlformats.org/officeDocument/2006/relationships/hyperlink" Id="rId46"/>
    <Relationship TargetMode="External" Target="https://www.legis.iowa.gov/docs/ico/chapter/543B.48.pdf" Type="http://schemas.openxmlformats.org/officeDocument/2006/relationships/hyperlink" Id="rId47"/>
    <Relationship TargetMode="External" Target="https://www.legis.iowa.gov/docs/iac/rule/481.2018.2.pdf" Type="http://schemas.openxmlformats.org/officeDocument/2006/relationships/hyperlink" Id="rId48"/>
    <Relationship TargetMode="External" Target="https://www.legis.iowa.gov/docs/iac/rule/481.2018.14.pdf" Type="http://schemas.openxmlformats.org/officeDocument/2006/relationships/hyperlink" Id="rId49"/>
    <Relationship TargetMode="External" Target="https://www.legis.iowa.gov/docs/ico/chapter/272C.6.pdf" Type="http://schemas.openxmlformats.org/officeDocument/2006/relationships/hyperlink" Id="rId50"/>
    <Relationship TargetMode="External" Target="https://www.legis.iowa.gov/docs/iac/rule/481.2018.14.pdf" Type="http://schemas.openxmlformats.org/officeDocument/2006/relationships/hyperlink" Id="rId51"/>
    <Relationship TargetMode="External" Target="https://www.legis.iowa.gov/docs/iac/rule/481.2007.3.pdf" Type="http://schemas.openxmlformats.org/officeDocument/2006/relationships/hyperlink" Id="rId52"/>
    <Relationship TargetMode="External" Target="https://www.legis.iowa.gov/docs/iac/rule/481.2018.14.pdf" Type="http://schemas.openxmlformats.org/officeDocument/2006/relationships/hyperlink" Id="rId53"/>
    <Relationship TargetMode="External" Target="https://www.legis.iowa.gov/docs/iac/rule/193E.2006.1.pdf" Type="http://schemas.openxmlformats.org/officeDocument/2006/relationships/hyperlink" Id="rId54"/>
    <Relationship TargetMode="External" Target="https://www.legis.iowa.gov/docs/iac/rule/481.2006.1.pdf" Type="http://schemas.openxmlformats.org/officeDocument/2006/relationships/hyperlink" Id="rId55"/>
    <Relationship TargetMode="External" Target="https://www.legis.iowa.gov/docs/ico/chapter/543B.46.pdf" Type="http://schemas.openxmlformats.org/officeDocument/2006/relationships/hyperlink" Id="rId56"/>
    <Relationship TargetMode="External" Target="https://www.legis.iowa.gov/docs/ico/chapter/543B.46.pdf" Type="http://schemas.openxmlformats.org/officeDocument/2006/relationships/hyperlink" Id="rId57"/>
    <Relationship TargetMode="External" Target="https://www.legis.iowa.gov/docs/ico/chapter/543B.56A.pdf" Type="http://schemas.openxmlformats.org/officeDocument/2006/relationships/hyperlink" Id="rId58"/>
    <Relationship TargetMode="External" Target="https://www.legis.iowa.gov/docs/iac/chapter/481.2001.pdf" Type="http://schemas.openxmlformats.org/officeDocument/2006/relationships/hyperlink" Id="rId59"/>
    <Relationship TargetMode="External" Target="https://www.legis.iowa.gov/docs/iac/chapter/481.2022.pdf" Type="http://schemas.openxmlformats.org/officeDocument/2006/relationships/hyperlink" Id="rId60"/>
    <Relationship TargetMode="External" Target="https://www.legis.iowa.gov/docs/iac/rule/481.506.32.pdf" Type="http://schemas.openxmlformats.org/officeDocument/2006/relationships/hyperlink" Id="rId61"/>
    <Relationship TargetMode="External" Target="https://www.legis.iowa.gov/docs/iac/rule/481.2018.14.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co/chapter/272C.pdf" Type="http://schemas.openxmlformats.org/officeDocument/2006/relationships/hyperlink" Id="rId64"/>
    <Relationship TargetMode="External" Target="https://www.legis.iowa.gov/docs/ico/chapter/543B.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