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2005</w:t>
      </w:r>
    </w:p>
    <w:p>
      <w:pPr>
        <w:spacing w:before="0" w:after="0"/>
        <w:ind w:left="120"/>
        <w:jc w:val="center"/>
      </w:pPr>
      <w:r>
        <w:rPr>
          <w:rFonts w:ascii="Times New Roman" w:hAnsi="Times New Roman"/>
          <w:b w:val="false"/>
          <w:i w:val="false"/>
          <w:color w:val="000000"/>
          <w:sz w:val="21"/>
        </w:rPr>
        <w:t>LICENSEES OF OTHER JURISDICTIONS AND RECIPROCITY</w:t>
      </w:r>
    </w:p>
    <w:p>
      <w:pPr>
        <w:spacing w:before="0" w:after="0"/>
        <w:ind w:left="120"/>
        <w:jc w:val="center"/>
      </w:pPr>
      <w:r>
        <w:rPr>
          <w:rFonts w:ascii="Times New Roman" w:hAnsi="Times New Roman"/>
          <w:b w:val="false"/>
          <w:i w:val="false"/>
          <w:color w:val="000000"/>
          <w:sz w:val="14"/>
        </w:rPr>
        <w:t>[Prior to 9/4/02, see 193E—2.3(543B)]</w:t>
      </w:r>
    </w:p>
    <w:p>
      <w:pPr>
        <w:spacing w:before="0" w:after="0"/>
        <w:ind w:left="120"/>
        <w:jc w:val="center"/>
      </w:pPr>
      <w:r>
        <w:rPr>
          <w:rFonts w:ascii="Times New Roman" w:hAnsi="Times New Roman"/>
          <w:b w:val="false"/>
          <w:i w:val="false"/>
          <w:color w:val="000000"/>
          <w:sz w:val="14"/>
        </w:rPr>
        <w:t>[Prior to 6/10/26, see Real Estate Commission[193E]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481—2005.1</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Licensees of other jurisdictions. </w:t>
      </w:r>
      <w:r>
        <w:rPr>
          <w:rFonts w:ascii="Times New Roman" w:hAnsi="Times New Roman"/>
          <w:b w:val="false"/>
          <w:i w:val="false"/>
          <w:color w:val="000000"/>
          <w:sz w:val="22"/>
        </w:rPr>
        <w:t xml:space="preserve">As provided in Iowa Code section </w:t>
      </w:r>
      <w:hyperlink r:id="rId5">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xml:space="preserve">, a nonresident of this state may be licensed as a real estate broker or a real estate salesperson upon complying with all the provisions and conditions of Iowa Code chapter </w:t>
      </w:r>
      <w:hyperlink r:id="rId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commission rules relative to resident brokers or salespersons.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licensed in another state or jurisdiction making application in Iowa by reciprocity or as provided in rule </w:t>
      </w:r>
      <w:hyperlink r:id="rId7">
        <w:r>
          <w:rPr>
            <w:rStyle w:val="Hyperlink"/>
            <w:rFonts w:ascii="Times New Roman" w:hAnsi="Times New Roman"/>
            <w:b w:val="false"/>
            <w:i w:val="false"/>
            <w:color w:val="000000"/>
            <w:sz w:val="22"/>
          </w:rPr>
          <w:t>481—2005.3</w:t>
        </w:r>
      </w:hyperlink>
      <w:r>
        <w:rPr>
          <w:rFonts w:ascii="Times New Roman" w:hAnsi="Times New Roman"/>
          <w:b w:val="false"/>
          <w:i w:val="false"/>
          <w:color w:val="000000"/>
          <w:sz w:val="22"/>
        </w:rPr>
        <w:t xml:space="preserve">(543B) or </w:t>
      </w:r>
      <w:hyperlink r:id="rId8">
        <w:r>
          <w:rPr>
            <w:rStyle w:val="Hyperlink"/>
            <w:rFonts w:ascii="Times New Roman" w:hAnsi="Times New Roman"/>
            <w:b w:val="false"/>
            <w:i w:val="false"/>
            <w:color w:val="000000"/>
            <w:sz w:val="22"/>
          </w:rPr>
          <w:t>481—2005.11</w:t>
        </w:r>
      </w:hyperlink>
      <w:r>
        <w:rPr>
          <w:rFonts w:ascii="Times New Roman" w:hAnsi="Times New Roman"/>
          <w:b w:val="false"/>
          <w:i w:val="false"/>
          <w:color w:val="000000"/>
          <w:sz w:val="22"/>
        </w:rPr>
        <w:t>(543B) may qualify for a salesperson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licensed as a broker or broker associate in another state or jurisdiction making application in Iowa by reciprocity or as provided in rule </w:t>
      </w:r>
      <w:hyperlink r:id="rId9">
        <w:r>
          <w:rPr>
            <w:rStyle w:val="Hyperlink"/>
            <w:rFonts w:ascii="Times New Roman" w:hAnsi="Times New Roman"/>
            <w:b w:val="false"/>
            <w:i w:val="false"/>
            <w:color w:val="000000"/>
            <w:sz w:val="22"/>
          </w:rPr>
          <w:t>481—2005.3</w:t>
        </w:r>
      </w:hyperlink>
      <w:r>
        <w:rPr>
          <w:rFonts w:ascii="Times New Roman" w:hAnsi="Times New Roman"/>
          <w:b w:val="false"/>
          <w:i w:val="false"/>
          <w:color w:val="000000"/>
          <w:sz w:val="22"/>
        </w:rPr>
        <w:t xml:space="preserve">(543B) or </w:t>
      </w:r>
      <w:hyperlink r:id="rId10">
        <w:r>
          <w:rPr>
            <w:rStyle w:val="Hyperlink"/>
            <w:rFonts w:ascii="Times New Roman" w:hAnsi="Times New Roman"/>
            <w:b w:val="false"/>
            <w:i w:val="false"/>
            <w:color w:val="000000"/>
            <w:sz w:val="22"/>
          </w:rPr>
          <w:t>481—2005.11</w:t>
        </w:r>
      </w:hyperlink>
      <w:r>
        <w:rPr>
          <w:rFonts w:ascii="Times New Roman" w:hAnsi="Times New Roman"/>
          <w:b w:val="false"/>
          <w:i w:val="false"/>
          <w:color w:val="000000"/>
          <w:sz w:val="22"/>
        </w:rPr>
        <w:t xml:space="preserve">(543B) may qualify for the same type of broker or broker associate license in Iowa. The person meets all criteria for an Iowa broker license as provided in rule </w:t>
      </w:r>
      <w:hyperlink r:id="rId11">
        <w:r>
          <w:rPr>
            <w:rStyle w:val="Hyperlink"/>
            <w:rFonts w:ascii="Times New Roman" w:hAnsi="Times New Roman"/>
            <w:b w:val="false"/>
            <w:i w:val="false"/>
            <w:color w:val="000000"/>
            <w:sz w:val="22"/>
          </w:rPr>
          <w:t>481—2003.1</w:t>
        </w:r>
      </w:hyperlink>
      <w:r>
        <w:rPr>
          <w:rFonts w:ascii="Times New Roman" w:hAnsi="Times New Roman"/>
          <w:b w:val="false"/>
          <w:i w:val="false"/>
          <w:color w:val="000000"/>
          <w:sz w:val="22"/>
        </w:rPr>
        <w:t xml:space="preserve">(543B). If the person does not meet the criteria, the person may qualify for a salesperson license if the person meets, at a minimum, the criteria for an Iowa salesperson license as provided in </w:t>
      </w:r>
      <w:hyperlink r:id="rId12">
        <w:r>
          <w:rPr>
            <w:rStyle w:val="Hyperlink"/>
            <w:rFonts w:ascii="Times New Roman" w:hAnsi="Times New Roman"/>
            <w:b w:val="false"/>
            <w:i w:val="false"/>
            <w:color w:val="000000"/>
            <w:sz w:val="22"/>
          </w:rPr>
          <w:t>481—Chapter 2004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2005.1(3)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only perform activities in Iowa as provided by Iowa Code chapter </w:t>
      </w:r>
      <w:hyperlink r:id="rId1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after qualifying for and being issued a real estate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481—2005.2</w:t>
      </w:r>
      <w:r>
        <w:rPr>
          <w:rFonts w:ascii="Times New Roman" w:hAnsi="Times New Roman"/>
          <w:b/>
          <w:i w:val="false"/>
          <w:color w:val="000000"/>
          <w:sz w:val="22"/>
        </w:rPr>
        <w:t xml:space="preserve">(543B) </w:t>
      </w:r>
      <w:r>
        <w:rPr>
          <w:rFonts w:ascii="Times New Roman" w:hAnsi="Times New Roman"/>
          <w:b/>
          <w:i w:val="false"/>
          <w:color w:val="000000"/>
          <w:sz w:val="22"/>
        </w:rPr>
        <w:t xml:space="preserve">Nonresident application. </w:t>
      </w:r>
      <w:r>
        <w:rPr>
          <w:rFonts w:ascii="Times New Roman" w:hAnsi="Times New Roman"/>
          <w:b w:val="false"/>
          <w:i w:val="false"/>
          <w:color w:val="000000"/>
          <w:sz w:val="22"/>
        </w:rPr>
        <w:t xml:space="preserve">Each applicant under rule </w:t>
      </w:r>
      <w:hyperlink r:id="rId14">
        <w:r>
          <w:rPr>
            <w:rStyle w:val="Hyperlink"/>
            <w:rFonts w:ascii="Times New Roman" w:hAnsi="Times New Roman"/>
            <w:b w:val="false"/>
            <w:i w:val="false"/>
            <w:color w:val="000000"/>
            <w:sz w:val="22"/>
          </w:rPr>
          <w:t>481—2005.3</w:t>
        </w:r>
      </w:hyperlink>
      <w:r>
        <w:rPr>
          <w:rFonts w:ascii="Times New Roman" w:hAnsi="Times New Roman"/>
          <w:b w:val="false"/>
          <w:i w:val="false"/>
          <w:color w:val="000000"/>
          <w:sz w:val="22"/>
        </w:rPr>
        <w:t xml:space="preserve">(543B) or under a reciprocal licensing agreement or memorandum applies on forms provided by the commission under Iowa Code section </w:t>
      </w:r>
      <w:hyperlink r:id="rId15">
        <w:r>
          <w:rPr>
            <w:rStyle w:val="Hyperlink"/>
            <w:rFonts w:ascii="Times New Roman" w:hAnsi="Times New Roman"/>
            <w:b w:val="false"/>
            <w:i w:val="false"/>
            <w:color w:val="000000"/>
            <w:sz w:val="22"/>
          </w:rPr>
          <w:t>543B.16</w:t>
        </w:r>
      </w:hyperlink>
      <w:r>
        <w:rPr>
          <w:rFonts w:ascii="Times New Roman" w:hAnsi="Times New Roman"/>
          <w:b w:val="false"/>
          <w:i w:val="false"/>
          <w:color w:val="000000"/>
          <w:sz w:val="22"/>
        </w:rPr>
        <w:t xml:space="preserve">. The application includes but is not limited to a certification of license from the state of original licensure containing all information required by Iowa Code section </w:t>
      </w:r>
      <w:hyperlink r:id="rId16">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xml:space="preserve"> and an affidavit certifying that the applicant has reviewed and is familiar with and will be bound by the Iowa real estate license law and the rules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481—2005.3</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by examination. </w:t>
      </w:r>
      <w:r>
        <w:rPr>
          <w:rFonts w:ascii="Times New Roman" w:hAnsi="Times New Roman"/>
          <w:b w:val="false"/>
          <w:i w:val="false"/>
          <w:color w:val="000000"/>
          <w:sz w:val="22"/>
        </w:rPr>
        <w:t>A nonresident applicant licensed as a real estate salesperson or broker in a state or jurisdiction which does not have a reciprocal licensing agreement or memorandum with Iowa, or an applicant who does not qualify for reciprocal licensing, may be issued a comparable Iowa license by passing the real estate examination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2005.3(1)</w:t>
      </w:r>
      <w:r>
        <w:rPr>
          <w:rFonts w:ascii="Times New Roman" w:hAnsi="Times New Roman"/>
          <w:b w:val="false"/>
          <w:i w:val="false"/>
          <w:color w:val="000000"/>
          <w:sz w:val="22"/>
        </w:rPr>
        <w:t> </w:t>
      </w:r>
      <w:r>
        <w:rPr>
          <w:rFonts w:ascii="Times New Roman" w:hAnsi="Times New Roman"/>
          <w:b w:val="false"/>
          <w:i w:val="false"/>
          <w:color w:val="000000"/>
          <w:sz w:val="22"/>
        </w:rPr>
        <w:t xml:space="preserve">Broker. The person has been actively licensed as a broker or broker associate, the person meets all criteria for an Iowa broker’s license as provided in rule </w:t>
      </w:r>
      <w:hyperlink r:id="rId17">
        <w:r>
          <w:rPr>
            <w:rStyle w:val="Hyperlink"/>
            <w:rFonts w:ascii="Times New Roman" w:hAnsi="Times New Roman"/>
            <w:b w:val="false"/>
            <w:i w:val="false"/>
            <w:color w:val="000000"/>
            <w:sz w:val="22"/>
          </w:rPr>
          <w:t>481—2003.1</w:t>
        </w:r>
      </w:hyperlink>
      <w:r>
        <w:rPr>
          <w:rFonts w:ascii="Times New Roman" w:hAnsi="Times New Roman"/>
          <w:b w:val="false"/>
          <w:i w:val="false"/>
          <w:color w:val="000000"/>
          <w:sz w:val="22"/>
        </w:rPr>
        <w:t>(543B), and the license has not been inactive or expired for more than six months immediately preceding the date of passage of the national portion and Iowa portion of the broker real estate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2005.3(2)</w:t>
      </w:r>
      <w:r>
        <w:rPr>
          <w:rFonts w:ascii="Times New Roman" w:hAnsi="Times New Roman"/>
          <w:b w:val="false"/>
          <w:i w:val="false"/>
          <w:color w:val="000000"/>
          <w:sz w:val="22"/>
        </w:rPr>
        <w:t> </w:t>
      </w:r>
      <w:r>
        <w:rPr>
          <w:rFonts w:ascii="Times New Roman" w:hAnsi="Times New Roman"/>
          <w:b w:val="false"/>
          <w:i w:val="false"/>
          <w:color w:val="000000"/>
          <w:sz w:val="22"/>
        </w:rPr>
        <w:t>Salesperson. The person has been actively licensed as a salesperson and the license has not been inactive or expired for more than six months immediately preceding the date of passage of the Iowa portion of the salesperson real estate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2005.3(3)</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 written request for authorization to sit for the appropriate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2005.3(4)</w:t>
      </w:r>
      <w:r>
        <w:rPr>
          <w:rFonts w:ascii="Times New Roman" w:hAnsi="Times New Roman"/>
          <w:b w:val="false"/>
          <w:i w:val="false"/>
          <w:color w:val="000000"/>
          <w:sz w:val="22"/>
        </w:rPr>
        <w:t> </w:t>
      </w:r>
      <w:r>
        <w:rPr>
          <w:rFonts w:ascii="Times New Roman" w:hAnsi="Times New Roman"/>
          <w:b w:val="false"/>
          <w:i w:val="false"/>
          <w:color w:val="000000"/>
          <w:sz w:val="22"/>
        </w:rPr>
        <w:t>The applicant submits certification of the applicant’s current qualifying license from the licensing authority that issued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481—2005.4</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Licensure by reciprocity. </w:t>
      </w:r>
      <w:r>
        <w:rPr>
          <w:rFonts w:ascii="Times New Roman" w:hAnsi="Times New Roman"/>
          <w:b w:val="false"/>
          <w:i w:val="false"/>
          <w:color w:val="000000"/>
          <w:sz w:val="22"/>
        </w:rPr>
        <w:t xml:space="preserve">The commission may, as provided in Iowa Code section </w:t>
      </w:r>
      <w:hyperlink r:id="rId18">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enter into specific written reciprocal licensing agreements or memorandums with other individual states or jurisdictions having similar licensing criteria and grant an Iowa license to licensees from those states or jurisdictions on the same basis as Iowa licensees are granted licenses by those states or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2005.4(1)</w:t>
      </w:r>
      <w:r>
        <w:rPr>
          <w:rFonts w:ascii="Times New Roman" w:hAnsi="Times New Roman"/>
          <w:b w:val="false"/>
          <w:i w:val="false"/>
          <w:color w:val="000000"/>
          <w:sz w:val="22"/>
        </w:rPr>
        <w:t> </w:t>
      </w:r>
      <w:r>
        <w:rPr>
          <w:rFonts w:ascii="Times New Roman" w:hAnsi="Times New Roman"/>
          <w:b w:val="false"/>
          <w:i w:val="false"/>
          <w:color w:val="000000"/>
          <w:sz w:val="22"/>
        </w:rPr>
        <w:t>The applicant is not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2005.4(2)</w:t>
      </w:r>
      <w:r>
        <w:rPr>
          <w:rFonts w:ascii="Times New Roman" w:hAnsi="Times New Roman"/>
          <w:b w:val="false"/>
          <w:i w:val="false"/>
          <w:color w:val="000000"/>
          <w:sz w:val="22"/>
        </w:rPr>
        <w:t> </w:t>
      </w:r>
      <w:r>
        <w:rPr>
          <w:rFonts w:ascii="Times New Roman" w:hAnsi="Times New Roman"/>
          <w:b w:val="false"/>
          <w:i w:val="false"/>
          <w:color w:val="000000"/>
          <w:sz w:val="22"/>
        </w:rPr>
        <w:t>A license issued pursuant to this rule is based upon a nonresident salesperson or broker license issued by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2005.4(3)</w:t>
      </w:r>
      <w:r>
        <w:rPr>
          <w:rFonts w:ascii="Times New Roman" w:hAnsi="Times New Roman"/>
          <w:b w:val="false"/>
          <w:i w:val="false"/>
          <w:color w:val="000000"/>
          <w:sz w:val="22"/>
        </w:rPr>
        <w:t> </w:t>
      </w:r>
      <w:r>
        <w:rPr>
          <w:rFonts w:ascii="Times New Roman" w:hAnsi="Times New Roman"/>
          <w:b w:val="false"/>
          <w:i w:val="false"/>
          <w:color w:val="000000"/>
          <w:sz w:val="22"/>
        </w:rPr>
        <w:t>A license issued pursuant to this rule is assigned to the same broker or firm as the nonresident license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2005.4(4)</w:t>
      </w:r>
      <w:r>
        <w:rPr>
          <w:rFonts w:ascii="Times New Roman" w:hAnsi="Times New Roman"/>
          <w:b w:val="false"/>
          <w:i w:val="false"/>
          <w:color w:val="000000"/>
          <w:sz w:val="22"/>
        </w:rPr>
        <w:t> </w:t>
      </w:r>
      <w:r>
        <w:rPr>
          <w:rFonts w:ascii="Times New Roman" w:hAnsi="Times New Roman"/>
          <w:b w:val="false"/>
          <w:i w:val="false"/>
          <w:color w:val="000000"/>
          <w:sz w:val="22"/>
        </w:rPr>
        <w:t>If an applicant establishes residency in Iowa, that person does not qualify for licensure by reciprocal licensing agreement or memorandum.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2005.4(5)</w:t>
      </w:r>
      <w:r>
        <w:rPr>
          <w:rFonts w:ascii="Times New Roman" w:hAnsi="Times New Roman"/>
          <w:b w:val="false"/>
          <w:i w:val="false"/>
          <w:color w:val="000000"/>
          <w:sz w:val="22"/>
        </w:rPr>
        <w:t> </w:t>
      </w:r>
      <w:r>
        <w:rPr>
          <w:rFonts w:ascii="Times New Roman" w:hAnsi="Times New Roman"/>
          <w:b w:val="false"/>
          <w:i w:val="false"/>
          <w:color w:val="000000"/>
          <w:sz w:val="22"/>
        </w:rPr>
        <w:t>An Iowa license issued by reciprocity is based upon the nonresident license issued by examination in that other state or jurisdiction and is issued to the same broker and location as the nonresident license. The nonresident broker and firm, if applicable, must also be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2005.4(6)</w:t>
      </w:r>
      <w:r>
        <w:rPr>
          <w:rFonts w:ascii="Times New Roman" w:hAnsi="Times New Roman"/>
          <w:b w:val="false"/>
          <w:i w:val="false"/>
          <w:color w:val="000000"/>
          <w:sz w:val="22"/>
        </w:rPr>
        <w:t> </w:t>
      </w:r>
      <w:r>
        <w:rPr>
          <w:rFonts w:ascii="Times New Roman" w:hAnsi="Times New Roman"/>
          <w:b w:val="false"/>
          <w:i w:val="false"/>
          <w:color w:val="000000"/>
          <w:sz w:val="22"/>
        </w:rPr>
        <w:t>A reciprocity agreement or memorandum of understanding is only a method to apply for licensure and does not grant any exception to mandatory license laws of Iowa or the other state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2005.4(7)</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licensee wishing to obtain a license in any other state or jurisdiction should contact that state’s or jurisdiction’s licensing board for information and applications.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481—2005.5</w:t>
      </w:r>
      <w:r>
        <w:rPr>
          <w:rFonts w:ascii="Times New Roman" w:hAnsi="Times New Roman"/>
          <w:b/>
          <w:i w:val="false"/>
          <w:color w:val="000000"/>
          <w:sz w:val="22"/>
        </w:rPr>
        <w:t xml:space="preserve">(543B) </w:t>
      </w:r>
      <w:r>
        <w:rPr>
          <w:rFonts w:ascii="Times New Roman" w:hAnsi="Times New Roman"/>
          <w:b/>
          <w:i w:val="false"/>
          <w:color w:val="000000"/>
          <w:sz w:val="22"/>
        </w:rPr>
        <w:t xml:space="preserve">Renewal of a license issued by reciprocity. </w:t>
      </w:r>
      <w:r>
        <w:rPr>
          <w:rFonts w:ascii="Times New Roman" w:hAnsi="Times New Roman"/>
          <w:b w:val="false"/>
          <w:i w:val="false"/>
          <w:color w:val="000000"/>
          <w:sz w:val="22"/>
        </w:rPr>
        <w:t>All renewal criteria for a real estate broker or salesperson license issued by examination apply to a license issued by reciprocity.</w:t>
      </w:r>
    </w:p>
    <w:p>
      <w:pPr>
        <w:spacing w:before="0" w:after="0"/>
        <w:ind w:left="120"/>
        <w:jc w:val="both"/>
      </w:pPr>
      <w:r>
        <w:rPr>
          <w:rFonts w:ascii="Times New Roman" w:hAnsi="Times New Roman"/>
          <w:b w:val="false"/>
          <w:i w:val="false"/>
          <w:color w:val="000000"/>
          <w:sz w:val="22"/>
        </w:rPr>
        <w:t>Continuing education reciprocity is specifically provided for in the reciprocal license agreement or memorandum, or in a separate reciprocal continuing education agreement or memorandum.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481—2005.6</w:t>
      </w:r>
      <w:r>
        <w:rPr>
          <w:rFonts w:ascii="Times New Roman" w:hAnsi="Times New Roman"/>
          <w:b/>
          <w:i w:val="false"/>
          <w:color w:val="000000"/>
          <w:sz w:val="22"/>
        </w:rPr>
        <w:t xml:space="preserve">(543B) </w:t>
      </w:r>
      <w:r>
        <w:rPr>
          <w:rFonts w:ascii="Times New Roman" w:hAnsi="Times New Roman"/>
          <w:b/>
          <w:i w:val="false"/>
          <w:color w:val="000000"/>
          <w:sz w:val="22"/>
        </w:rPr>
        <w:t xml:space="preserve">Reinstatement of a license issued by reciprocity. </w:t>
      </w:r>
      <w:r>
        <w:rPr>
          <w:rFonts w:ascii="Times New Roman" w:hAnsi="Times New Roman"/>
          <w:b w:val="false"/>
          <w:i w:val="false"/>
          <w:color w:val="000000"/>
          <w:sz w:val="22"/>
        </w:rPr>
        <w:t>All reinstatement criteria for a real estate broker license or salesperson license issued by examination apply to a license issued by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2005.6(1)</w:t>
      </w:r>
      <w:r>
        <w:rPr>
          <w:rFonts w:ascii="Times New Roman" w:hAnsi="Times New Roman"/>
          <w:b w:val="false"/>
          <w:i w:val="false"/>
          <w:color w:val="000000"/>
          <w:sz w:val="22"/>
        </w:rPr>
        <w:t> </w:t>
      </w:r>
      <w:r>
        <w:rPr>
          <w:rFonts w:ascii="Times New Roman" w:hAnsi="Times New Roman"/>
          <w:b w:val="false"/>
          <w:i w:val="false"/>
          <w:color w:val="000000"/>
          <w:sz w:val="22"/>
        </w:rPr>
        <w:t>Starting over. A broker or salesperson who fails to file a complete application to reinstate an expired license by midnight December 31 of the third year following expiration is treated as if the former broker or salesperson had never been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2005.6(2)</w:t>
      </w:r>
      <w:r>
        <w:rPr>
          <w:rFonts w:ascii="Times New Roman" w:hAnsi="Times New Roman"/>
          <w:b w:val="false"/>
          <w:i w:val="false"/>
          <w:color w:val="000000"/>
          <w:sz w:val="22"/>
        </w:rPr>
        <w:t> </w:t>
      </w:r>
      <w:r>
        <w:rPr>
          <w:rFonts w:ascii="Times New Roman" w:hAnsi="Times New Roman"/>
          <w:b w:val="false"/>
          <w:i w:val="false"/>
          <w:color w:val="000000"/>
          <w:sz w:val="22"/>
        </w:rPr>
        <w:t>A broker or salesperson must qualify for reciprocity in order to reinstate an expired reciprocal broker or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2005.6(3)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broker or salesperson has moved into Iowa and no longer qualifies for reciprocity, the expired license is reinstated in the same manner as a license issued by examination as provided in rule </w:t>
      </w:r>
      <w:hyperlink r:id="rId19">
        <w:r>
          <w:rPr>
            <w:rStyle w:val="Hyperlink"/>
            <w:rFonts w:ascii="Times New Roman" w:hAnsi="Times New Roman"/>
            <w:b w:val="false"/>
            <w:i w:val="false"/>
            <w:color w:val="000000"/>
            <w:sz w:val="22"/>
          </w:rPr>
          <w:t>481—2003.6</w:t>
        </w:r>
      </w:hyperlink>
      <w:r>
        <w:rPr>
          <w:rFonts w:ascii="Times New Roman" w:hAnsi="Times New Roman"/>
          <w:b w:val="false"/>
          <w:i w:val="false"/>
          <w:color w:val="000000"/>
          <w:sz w:val="22"/>
        </w:rPr>
        <w:t xml:space="preserve">(272C,543B) for brokers and rule </w:t>
      </w:r>
      <w:hyperlink r:id="rId20">
        <w:r>
          <w:rPr>
            <w:rStyle w:val="Hyperlink"/>
            <w:rFonts w:ascii="Times New Roman" w:hAnsi="Times New Roman"/>
            <w:b w:val="false"/>
            <w:i w:val="false"/>
            <w:color w:val="000000"/>
            <w:sz w:val="22"/>
          </w:rPr>
          <w:t>481—2004.6</w:t>
        </w:r>
      </w:hyperlink>
      <w:r>
        <w:rPr>
          <w:rFonts w:ascii="Times New Roman" w:hAnsi="Times New Roman"/>
          <w:b w:val="false"/>
          <w:i w:val="false"/>
          <w:color w:val="000000"/>
          <w:sz w:val="22"/>
        </w:rPr>
        <w:t>(272C,543B) for salespersons.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481—2005.7</w:t>
      </w:r>
      <w:r>
        <w:rPr>
          <w:rFonts w:ascii="Times New Roman" w:hAnsi="Times New Roman"/>
          <w:b/>
          <w:i w:val="false"/>
          <w:color w:val="000000"/>
          <w:sz w:val="22"/>
        </w:rPr>
        <w:t xml:space="preserve">(543B) </w:t>
      </w:r>
      <w:r>
        <w:rPr>
          <w:rFonts w:ascii="Times New Roman" w:hAnsi="Times New Roman"/>
          <w:b/>
          <w:i w:val="false"/>
          <w:color w:val="000000"/>
          <w:sz w:val="22"/>
        </w:rPr>
        <w:t xml:space="preserve">Nonresident real estate offices and licenses required. </w:t>
      </w:r>
      <w:r>
        <w:rPr>
          <w:rFonts w:ascii="Times New Roman" w:hAnsi="Times New Roman"/>
          <w:b w:val="false"/>
          <w:i w:val="false"/>
          <w:color w:val="000000"/>
          <w:sz w:val="22"/>
        </w:rPr>
        <w:t xml:space="preserve">All nonresident applicants for licensure in Iowa shall qualify for and obtain a license pursuant to Iowa Code section </w:t>
      </w:r>
      <w:hyperlink r:id="rId21">
        <w:r>
          <w:rPr>
            <w:rStyle w:val="Hyperlink"/>
            <w:rFonts w:ascii="Times New Roman" w:hAnsi="Times New Roman"/>
            <w:b w:val="false"/>
            <w:i w:val="false"/>
            <w:color w:val="000000"/>
            <w:sz w:val="22"/>
          </w:rPr>
          <w:t>543B.2(2)</w:t>
        </w:r>
      </w:hyperlink>
      <w:r>
        <w:rPr>
          <w:rFonts w:ascii="Times New Roman" w:hAnsi="Times New Roman"/>
          <w:b w:val="false"/>
          <w:i w:val="false"/>
          <w:color w:val="000000"/>
          <w:sz w:val="22"/>
        </w:rPr>
        <w:t xml:space="preserve"> and rule </w:t>
      </w:r>
      <w:hyperlink r:id="rId22">
        <w:r>
          <w:rPr>
            <w:rStyle w:val="Hyperlink"/>
            <w:rFonts w:ascii="Times New Roman" w:hAnsi="Times New Roman"/>
            <w:b w:val="false"/>
            <w:i w:val="false"/>
            <w:color w:val="000000"/>
            <w:sz w:val="22"/>
          </w:rPr>
          <w:t>481—2007.1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2005.7(1)</w:t>
      </w:r>
      <w:r>
        <w:rPr>
          <w:rFonts w:ascii="Times New Roman" w:hAnsi="Times New Roman"/>
          <w:b w:val="false"/>
          <w:i w:val="false"/>
          <w:color w:val="000000"/>
          <w:sz w:val="22"/>
        </w:rPr>
        <w:t> </w:t>
      </w:r>
      <w:r>
        <w:rPr>
          <w:rFonts w:ascii="Times New Roman" w:hAnsi="Times New Roman"/>
          <w:b w:val="false"/>
          <w:i w:val="false"/>
          <w:color w:val="000000"/>
          <w:sz w:val="22"/>
        </w:rPr>
        <w:t>If the applicant is a broker associate or salesperson of a nonresident broker, the nonresident employing broker must have an Iowa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employed by or otherwise associated with a nonresident real estate firm as defined in rule </w:t>
      </w:r>
      <w:hyperlink r:id="rId23">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 that firm must apply and qualify for an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firm as defined in rule </w:t>
      </w:r>
      <w:hyperlink r:id="rId24">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 may be granted an Iowa license unless at least one member or officer of the firm applies for and is granted an Iowa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member or officer of the firm and every employee or associated real estate licensee who acts as a real estate broker, broker associate, or salesperson in Iowa must apply for and be granted an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2005.7(3)</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by Iowa Code section </w:t>
      </w:r>
      <w:hyperlink r:id="rId25">
        <w:r>
          <w:rPr>
            <w:rStyle w:val="Hyperlink"/>
            <w:rFonts w:ascii="Times New Roman" w:hAnsi="Times New Roman"/>
            <w:b w:val="false"/>
            <w:i w:val="false"/>
            <w:color w:val="000000"/>
            <w:sz w:val="22"/>
          </w:rPr>
          <w:t>543B.22</w:t>
        </w:r>
      </w:hyperlink>
      <w:r>
        <w:rPr>
          <w:rFonts w:ascii="Times New Roman" w:hAnsi="Times New Roman"/>
          <w:b w:val="false"/>
          <w:i w:val="false"/>
          <w:color w:val="000000"/>
          <w:sz w:val="22"/>
        </w:rPr>
        <w:t>, a nonresident broker or firm is not obligated to maintain a definite place of business in Iowa if that broker or firm maintains an active place of business within the resident state or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481—2005.8</w:t>
      </w:r>
      <w:r>
        <w:rPr>
          <w:rFonts w:ascii="Times New Roman" w:hAnsi="Times New Roman"/>
          <w:b/>
          <w:i w:val="false"/>
          <w:color w:val="000000"/>
          <w:sz w:val="22"/>
        </w:rPr>
        <w:t xml:space="preserve">(543B) </w:t>
      </w:r>
      <w:r>
        <w:rPr>
          <w:rFonts w:ascii="Times New Roman" w:hAnsi="Times New Roman"/>
          <w:b/>
          <w:i w:val="false"/>
          <w:color w:val="000000"/>
          <w:sz w:val="22"/>
        </w:rPr>
        <w:t xml:space="preserve">Actions against nonresidents. </w:t>
      </w:r>
      <w:r>
        <w:rPr>
          <w:rFonts w:ascii="Times New Roman" w:hAnsi="Times New Roman"/>
          <w:b w:val="false"/>
          <w:i w:val="false"/>
          <w:color w:val="000000"/>
          <w:sz w:val="22"/>
        </w:rPr>
        <w:t xml:space="preserve">The application for a nonresident license is accompanied by an executed irrevocable written consent to suits and actions at law or in equity as provided in Iowa Code section </w:t>
      </w:r>
      <w:hyperlink r:id="rId26">
        <w:r>
          <w:rPr>
            <w:rStyle w:val="Hyperlink"/>
            <w:rFonts w:ascii="Times New Roman" w:hAnsi="Times New Roman"/>
            <w:b w:val="false"/>
            <w:i w:val="false"/>
            <w:color w:val="000000"/>
            <w:sz w:val="22"/>
          </w:rPr>
          <w:t>543B.23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481—2005.9</w:t>
      </w:r>
      <w:r>
        <w:rPr>
          <w:rFonts w:ascii="Times New Roman" w:hAnsi="Times New Roman"/>
          <w:b/>
          <w:i w:val="false"/>
          <w:color w:val="000000"/>
          <w:sz w:val="22"/>
        </w:rPr>
        <w:t xml:space="preserve">(543B) </w:t>
      </w:r>
      <w:r>
        <w:rPr>
          <w:rFonts w:ascii="Times New Roman" w:hAnsi="Times New Roman"/>
          <w:b/>
          <w:i w:val="false"/>
          <w:color w:val="000000"/>
          <w:sz w:val="22"/>
        </w:rPr>
        <w:t xml:space="preserve">Nonresident continuing education. </w:t>
      </w:r>
      <w:r>
        <w:rPr>
          <w:rFonts w:ascii="Times New Roman" w:hAnsi="Times New Roman"/>
          <w:b w:val="false"/>
          <w:i w:val="false"/>
          <w:color w:val="000000"/>
          <w:sz w:val="22"/>
        </w:rPr>
        <w:t>Nonresident licensees shall fully comply with all continuing education unless a separate education agreement is in place between Iowa and the nonresident state or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481—2005.10</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discipline reporting. </w:t>
      </w:r>
      <w:r>
        <w:rPr>
          <w:rFonts w:ascii="Times New Roman" w:hAnsi="Times New Roman"/>
          <w:b w:val="false"/>
          <w:i w:val="false"/>
          <w:color w:val="000000"/>
          <w:sz w:val="22"/>
        </w:rPr>
        <w:t xml:space="preserve">If an Iowa licensee has a real estate license disciplined, suspended or revoked by any other state or jurisdiction, that disciplinary action will be considered prima facie evidence of violation of Iowa Code section </w:t>
      </w:r>
      <w:hyperlink r:id="rId27">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or 543B.34 or both, and a hearing may be held to determine whether similar disciplinary action should be taken against the Iowa licensee. Failure to notify the commission within 15 days of an adverse action taken by another state or jurisdiction is cause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481—2005.11</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 xml:space="preserve">A person licensed in another state or jurisdiction may qualify for an Iowa salesperson or broker license through verification by making application as provided in rule </w:t>
      </w:r>
      <w:hyperlink r:id="rId28">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 xml:space="preserve">(272C). In addition to all requirements provided by rule </w:t>
      </w:r>
      <w:hyperlink r:id="rId29">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 an applicant for a license through verification shall also submit to the commission proof of passing the Iowa portion of the salesperson or broker real estate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2005.11(1)</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Once the applicant submits an approved application and appropriate licensing fees, a license will be issued for a three-year term, counting the remaining portion of the year issued as a full year.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2005.11(2)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9619B</w:t>
      </w:r>
      <w:r>
        <w:rPr>
          <w:rFonts w:ascii="Times New Roman" w:hAnsi="Times New Roman"/>
          <w:b w:val="false"/>
          <w:i w:val="false"/>
          <w:color w:val="000000"/>
          <w:sz w:val="21"/>
        </w:rPr>
        <w:t xml:space="preserve"> (Notice ARC 9486B, IAB 5/4/11)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3242C</w:t>
      </w:r>
      <w:r>
        <w:rPr>
          <w:rFonts w:ascii="Times New Roman" w:hAnsi="Times New Roman"/>
          <w:b w:val="false"/>
          <w:i w:val="false"/>
          <w:color w:val="000000"/>
          <w:sz w:val="21"/>
        </w:rPr>
        <w:t xml:space="preserve"> (Notice ARC 3065C,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7767C</w:t>
      </w:r>
      <w:r>
        <w:rPr>
          <w:rFonts w:ascii="Times New Roman" w:hAnsi="Times New Roman"/>
          <w:b w:val="false"/>
          <w:i w:val="false"/>
          <w:color w:val="000000"/>
          <w:sz w:val="21"/>
        </w:rPr>
        <w:t xml:space="preserve"> (Notice ARC 7446C,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3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21.pdf" Type="http://schemas.openxmlformats.org/officeDocument/2006/relationships/hyperlink" Id="rId5"/>
    <Relationship TargetMode="External" Target="https://www.legis.iowa.gov/docs/ico/chapter/543B.pdf" Type="http://schemas.openxmlformats.org/officeDocument/2006/relationships/hyperlink" Id="rId6"/>
    <Relationship TargetMode="External" Target="https://www.legis.iowa.gov/docs/iac/rule/481.2005.3.pdf" Type="http://schemas.openxmlformats.org/officeDocument/2006/relationships/hyperlink" Id="rId7"/>
    <Relationship TargetMode="External" Target="https://www.legis.iowa.gov/docs/iac/rule/481.2005.11.pdf" Type="http://schemas.openxmlformats.org/officeDocument/2006/relationships/hyperlink" Id="rId8"/>
    <Relationship TargetMode="External" Target="https://www.legis.iowa.gov/docs/iac/rule/481.2005.3.pdf" Type="http://schemas.openxmlformats.org/officeDocument/2006/relationships/hyperlink" Id="rId9"/>
    <Relationship TargetMode="External" Target="https://www.legis.iowa.gov/docs/iac/rule/481.2005.11.pdf" Type="http://schemas.openxmlformats.org/officeDocument/2006/relationships/hyperlink" Id="rId10"/>
    <Relationship TargetMode="External" Target="https://www.legis.iowa.gov/docs/iac/rule/481.2003.1.pdf" Type="http://schemas.openxmlformats.org/officeDocument/2006/relationships/hyperlink" Id="rId11"/>
    <Relationship TargetMode="External" Target="https://www.legis.iowa.gov/docs/iac/chapter/481.2004.pdf" Type="http://schemas.openxmlformats.org/officeDocument/2006/relationships/hyperlink" Id="rId12"/>
    <Relationship TargetMode="External" Target="https://www.legis.iowa.gov/docs/ico/chapter/543B.pdf" Type="http://schemas.openxmlformats.org/officeDocument/2006/relationships/hyperlink" Id="rId13"/>
    <Relationship TargetMode="External" Target="https://www.legis.iowa.gov/docs/iac/rule/481.2005.3.pdf" Type="http://schemas.openxmlformats.org/officeDocument/2006/relationships/hyperlink" Id="rId14"/>
    <Relationship TargetMode="External" Target="https://www.legis.iowa.gov/docs/ico/chapter/543B.16.pdf" Type="http://schemas.openxmlformats.org/officeDocument/2006/relationships/hyperlink" Id="rId15"/>
    <Relationship TargetMode="External" Target="https://www.legis.iowa.gov/docs/ico/chapter/543B.21.pdf" Type="http://schemas.openxmlformats.org/officeDocument/2006/relationships/hyperlink" Id="rId16"/>
    <Relationship TargetMode="External" Target="https://www.legis.iowa.gov/docs/iac/rule/481.2003.1.pdf" Type="http://schemas.openxmlformats.org/officeDocument/2006/relationships/hyperlink" Id="rId17"/>
    <Relationship TargetMode="External" Target="https://www.legis.iowa.gov/docs/ico/chapter/543B.21.pdf" Type="http://schemas.openxmlformats.org/officeDocument/2006/relationships/hyperlink" Id="rId18"/>
    <Relationship TargetMode="External" Target="https://www.legis.iowa.gov/docs/iac/rule/481.2003.6.pdf" Type="http://schemas.openxmlformats.org/officeDocument/2006/relationships/hyperlink" Id="rId19"/>
    <Relationship TargetMode="External" Target="https://www.legis.iowa.gov/docs/iac/rule/481.2004.6.pdf" Type="http://schemas.openxmlformats.org/officeDocument/2006/relationships/hyperlink" Id="rId20"/>
    <Relationship TargetMode="External" Target="https://www.legis.iowa.gov/docs/ico/chapter/543B.2.pdf" Type="http://schemas.openxmlformats.org/officeDocument/2006/relationships/hyperlink" Id="rId21"/>
    <Relationship TargetMode="External" Target="https://www.legis.iowa.gov/docs/iac/rule/481.2007.1.pdf" Type="http://schemas.openxmlformats.org/officeDocument/2006/relationships/hyperlink" Id="rId22"/>
    <Relationship TargetMode="External" Target="https://www.legis.iowa.gov/docs/iac/rule/481.2002.1.pdf" Type="http://schemas.openxmlformats.org/officeDocument/2006/relationships/hyperlink" Id="rId23"/>
    <Relationship TargetMode="External" Target="https://www.legis.iowa.gov/docs/iac/rule/481.2002.1.pdf" Type="http://schemas.openxmlformats.org/officeDocument/2006/relationships/hyperlink" Id="rId24"/>
    <Relationship TargetMode="External" Target="https://www.legis.iowa.gov/docs/ico/chapter/543B.22.pdf" Type="http://schemas.openxmlformats.org/officeDocument/2006/relationships/hyperlink" Id="rId25"/>
    <Relationship TargetMode="External" Target="https://www.legis.iowa.gov/docs/ico/chapter/543B.23.pdf" Type="http://schemas.openxmlformats.org/officeDocument/2006/relationships/hyperlink" Id="rId26"/>
    <Relationship TargetMode="External" Target="https://www.legis.iowa.gov/docs/ico/chapter/543B.29.pdf" Type="http://schemas.openxmlformats.org/officeDocument/2006/relationships/hyperlink" Id="rId27"/>
    <Relationship TargetMode="External" Target="https://www.legis.iowa.gov/docs/iac/rule/481.501.1.pdf" Type="http://schemas.openxmlformats.org/officeDocument/2006/relationships/hyperlink" Id="rId28"/>
    <Relationship TargetMode="External" Target="https://www.legis.iowa.gov/docs/iac/rule/481.501.1.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543B.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