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IOWA CODE OF ADMINISTRATIVE JUDICIAL CONDUCT</w:t>
      </w:r>
    </w:p>
    <w:p>
      <w:pPr>
        <w:spacing w:before="0" w:after="0"/>
        <w:ind w:left="120"/>
        <w:jc w:val="center"/>
      </w:pPr>
      <w:r>
        <w:rPr>
          <w:rFonts w:ascii="Times New Roman" w:hAnsi="Times New Roman"/>
          <w:b w:val="false"/>
          <w:i w:val="false"/>
          <w:color w:val="000000"/>
          <w:sz w:val="20"/>
        </w:rPr>
        <w:t>[Prior to 12/20/17, see rule 481—10.29(10A)]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481—15.1</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1. </w:t>
      </w:r>
      <w:r>
        <w:rPr>
          <w:rFonts w:ascii="Times New Roman" w:hAnsi="Times New Roman"/>
          <w:b w:val="false"/>
          <w:i w:val="false"/>
          <w:color w:val="000000"/>
          <w:sz w:val="22"/>
        </w:rPr>
        <w:t>A presiding officer shall uphold and promote the independence, integrity, and impartiality of the administrative judiciary and shall avoid impropriety and the appearance of impropriety.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the law. </w:t>
      </w:r>
      <w:r>
        <w:rPr>
          <w:rFonts w:ascii="Times New Roman" w:hAnsi="Times New Roman"/>
          <w:b w:val="false"/>
          <w:i w:val="false"/>
          <w:color w:val="000000"/>
          <w:sz w:val="22"/>
        </w:rPr>
        <w:t>A presiding officer shall comply with the law, including the Iowa Code of Administrative Judicial Conduct, hereafter referred to as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Promoting confidence in the administrative judiciary. </w:t>
      </w:r>
      <w:r>
        <w:rPr>
          <w:rFonts w:ascii="Times New Roman" w:hAnsi="Times New Roman"/>
          <w:b w:val="false"/>
          <w:i w:val="false"/>
          <w:color w:val="000000"/>
          <w:sz w:val="22"/>
        </w:rPr>
        <w:t>A presiding officer shall act at all times in a manner that promotes public confidence in the independence, integrity, and impartiality of the administrative judiciary and shall avoid impropriety and the appearance of impropriety.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Avoiding abuse of the prestige of an administrative judicial position. </w:t>
      </w:r>
      <w:r>
        <w:rPr>
          <w:rFonts w:ascii="Times New Roman" w:hAnsi="Times New Roman"/>
          <w:b w:val="false"/>
          <w:i w:val="false"/>
          <w:color w:val="000000"/>
          <w:sz w:val="22"/>
        </w:rPr>
        <w:t>A presiding officer shall not abuse the prestige of the administrative judicial position to advance the personal or economic interests of the presiding officer or others or allow others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481—15.2</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2. </w:t>
      </w:r>
      <w:r>
        <w:rPr>
          <w:rFonts w:ascii="Times New Roman" w:hAnsi="Times New Roman"/>
          <w:b w:val="false"/>
          <w:i w:val="false"/>
          <w:color w:val="000000"/>
          <w:sz w:val="22"/>
        </w:rPr>
        <w:t>A presiding officer shall perform administrative judicial duties impartially, competently, and diligently.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Giving precedence to administrative judicial duties. </w:t>
      </w:r>
      <w:r>
        <w:rPr>
          <w:rFonts w:ascii="Times New Roman" w:hAnsi="Times New Roman"/>
          <w:b w:val="false"/>
          <w:i w:val="false"/>
          <w:color w:val="000000"/>
          <w:sz w:val="22"/>
        </w:rPr>
        <w:t>The administrative judicial duties, as prescribed by law, shall take precedence over all of a presiding officer’s personal and extrajudicial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Impartiality and fairness. </w:t>
      </w:r>
      <w:r>
        <w:rPr>
          <w:rFonts w:ascii="Times New Roman" w:hAnsi="Times New Roman"/>
          <w:b w:val="false"/>
          <w:i w:val="false"/>
          <w:color w:val="000000"/>
          <w:sz w:val="22"/>
        </w:rPr>
        <w:t>A presiding officer shall uphold and apply the law and shall perform all administrative judicial duties fairly and impartially.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Bias, prejudice, and harassment.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perform all administrative judicial and other duties without bias or prejudice.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in the performance of administrative judicial duties, by words or conduct manifest bias or prejudice or engage in harassment, including but not limited to bias, prejudice, or harassment based upon race, sex, gender, religion, national origin, ethnicity, disability, age, sexual orientation, marital status, socioeconomic status, or political affiliation, and shall not permit others subject to the presiding officer’s direction and control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lawyers and party representatives in proceedings before the presiding officer to refrain from manifesting bias or prejudice or engaging in harassment, based upon attributes including but not limited to race, sex, gender, religion, national origin, ethnicity, disability, age, sexual orientation, marital status, socioeconomic status, or political affiliation against parties, witnesses, lawyers, party representatives,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restrictions of paragraphs </w:t>
      </w:r>
      <w:hyperlink r:id="rId5">
        <w:r>
          <w:rPr>
            <w:rStyle w:val="Hyperlink"/>
            <w:rFonts w:ascii="Times New Roman" w:hAnsi="Times New Roman"/>
            <w:b w:val="false"/>
            <w:i w:val="false"/>
            <w:color w:val="000000"/>
            <w:sz w:val="22"/>
          </w:rPr>
          <w:t>15.2(3)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do not preclude presiding officers, lawyers, or party representatives from making legitimate reference to the listed factors, or similar factors, when they are relevant to an issue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color w:val="000000"/>
          <w:sz w:val="22"/>
        </w:rPr>
        <w:t xml:space="preserve">External influences on administrative judicial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be swayed by public clamor or fear of criticism.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permit family, social, political, financial, or other interests or relationships to influence the presiding officer’s administrative judicial conduct or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convey or permit others to convey the impression that any person or organization is in a position to influence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color w:val="000000"/>
          <w:sz w:val="22"/>
        </w:rPr>
        <w:t xml:space="preserve">Competence, diligence, and cooperation.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perform administrative judicial and other duties competently and diligently.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cooperate with other presiding officers and other executive branch employees in the administration of agency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color w:val="000000"/>
          <w:sz w:val="22"/>
        </w:rPr>
        <w:t xml:space="preserve">Ensuring the right to be heard.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accord to every person who has a legal interest in a proceeding, or that person’s lawyer or authorized representative, the right to be heard according to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may encourage parties to a proceeding and their lawyers or authorized representatives to settle matters in dispute but shall not act in a manner that coerces any party into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decide. </w:t>
      </w:r>
      <w:r>
        <w:rPr>
          <w:rFonts w:ascii="Times New Roman" w:hAnsi="Times New Roman"/>
          <w:b w:val="false"/>
          <w:i w:val="false"/>
          <w:color w:val="000000"/>
          <w:sz w:val="22"/>
        </w:rPr>
        <w:t xml:space="preserve">A presiding officer shall hear and decide matters assigned to the presiding officer, except when disqualification is required by subrule </w:t>
      </w:r>
      <w:hyperlink r:id="rId6">
        <w:r>
          <w:rPr>
            <w:rStyle w:val="Hyperlink"/>
            <w:rFonts w:ascii="Times New Roman" w:hAnsi="Times New Roman"/>
            <w:b w:val="false"/>
            <w:i w:val="false"/>
            <w:color w:val="000000"/>
            <w:sz w:val="22"/>
          </w:rPr>
          <w:t>15.2(11)</w:t>
        </w:r>
      </w:hyperlink>
      <w:r>
        <w:rPr>
          <w:rFonts w:ascii="Times New Roman" w:hAnsi="Times New Roman"/>
          <w:b w:val="false"/>
          <w:i w:val="false"/>
          <w:color w:val="000000"/>
          <w:sz w:val="22"/>
        </w:rPr>
        <w:t xml:space="preserve"> or other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15.2(8)</w:t>
      </w:r>
      <w:r>
        <w:rPr>
          <w:rFonts w:ascii="Times New Roman" w:hAnsi="Times New Roman"/>
          <w:b w:val="false"/>
          <w:i w:val="false"/>
          <w:color w:val="000000"/>
          <w:sz w:val="22"/>
        </w:rPr>
        <w:t> </w:t>
      </w:r>
      <w:r>
        <w:rPr>
          <w:rFonts w:ascii="Times New Roman" w:hAnsi="Times New Roman"/>
          <w:b w:val="false"/>
          <w:i/>
          <w:color w:val="000000"/>
          <w:sz w:val="22"/>
        </w:rPr>
        <w:t xml:space="preserve">Decorum and demeanor.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order and decorum in proceedings before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be patient, dignified, and courteous to parties, board members, witnesses, lawyers, party representatives, agency staff, agency officials, and others with whom the presiding officer deals in an official capacity and shall require similar conduct of lawyers, party representatives, and others subject to the presiding officer’s direction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15.2(9)</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not initiate, permit, or consider ex parte communications or consider other communications made to the presiding officer outside the presence of the parties or their lawyers, concerning a pending matter or impending matter, except as permitted by Iowa Code section </w:t>
      </w:r>
      <w:hyperlink r:id="rId7">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not investigate facts in a matter independently and shall consider only the evidence presented and any facts that may be officially noticed pursuant to Iowa Code section </w:t>
      </w:r>
      <w:hyperlink r:id="rId8">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15.2(10)</w:t>
      </w:r>
      <w:r>
        <w:rPr>
          <w:rFonts w:ascii="Times New Roman" w:hAnsi="Times New Roman"/>
          <w:b w:val="false"/>
          <w:i w:val="false"/>
          <w:color w:val="000000"/>
          <w:sz w:val="22"/>
        </w:rPr>
        <w:t> </w:t>
      </w:r>
      <w:r>
        <w:rPr>
          <w:rFonts w:ascii="Times New Roman" w:hAnsi="Times New Roman"/>
          <w:b w:val="false"/>
          <w:i/>
          <w:color w:val="000000"/>
          <w:sz w:val="22"/>
        </w:rPr>
        <w:t xml:space="preserve">Statements on pending and impending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make any public statement that might reasonably be expected to affect the outcome or impair the fairness of a pending matter or impending matter before the presiding officer or another presiding officer in the same agency or make any nonpublic statement that might substantially interfere with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in connection with cases, controversies, or issues that are likely to come before the presiding officer, make pledges, promises, or commitments that are inconsistent with the impartial performance of the presiding officer’s adjudicative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require others subject to the presiding officer’s direction and control to refrain from making statements that the presiding officer would be prohibited from making by paragraphs </w:t>
      </w:r>
      <w:hyperlink r:id="rId9">
        <w:r>
          <w:rPr>
            <w:rStyle w:val="Hyperlink"/>
            <w:rFonts w:ascii="Times New Roman" w:hAnsi="Times New Roman"/>
            <w:b w:val="false"/>
            <w:i w:val="false"/>
            <w:color w:val="000000"/>
            <w:sz w:val="22"/>
          </w:rPr>
          <w:t>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restrictions in paragraph </w:t>
      </w:r>
      <w:hyperlink r:id="rId10">
        <w:r>
          <w:rPr>
            <w:rStyle w:val="Hyperlink"/>
            <w:rFonts w:ascii="Times New Roman" w:hAnsi="Times New Roman"/>
            <w:b w:val="false"/>
            <w:i w:val="false"/>
            <w:color w:val="000000"/>
            <w:sz w:val="22"/>
          </w:rPr>
          <w:t>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 presiding officer may explain agency procedures and may comment on any proceeding in which the presiding officer is a party in a personal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paragraph </w:t>
      </w:r>
      <w:hyperlink r:id="rId11">
        <w:r>
          <w:rPr>
            <w:rStyle w:val="Hyperlink"/>
            <w:rFonts w:ascii="Times New Roman" w:hAnsi="Times New Roman"/>
            <w:b w:val="false"/>
            <w:i w:val="false"/>
            <w:color w:val="000000"/>
            <w:sz w:val="22"/>
          </w:rPr>
          <w:t>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 presiding officer may respond directly or through a third party to allegations in the media or elsewhere concerning the presiding officer’s conduct in a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disqualify the presiding officer in any proceeding in which the presiding officer’s impartiality might reasonably be questioned, including but not limited to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a personal bias or prejudice concerning a party or a party’s lawyer or other representative or has personal knowledge of facts that are in dispute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knows that the presiding officer, the presiding officer’s spouse or domestic partner, or a person within the third degree of relationship to either of them, or the spouse or domestic partner of such a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the proceeding, or an officer, director, general partner, managing member,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as a lawyer or party representative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has more than a de minimis interest that could be substantially affected by the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Likely to be a material witness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knows that the presiding officer, individually or as a fiduciary, or the presiding officer’s spouse, domestic partner, parent, or child, or any other member of the presiding officer’s family residing in the presiding officer’s household has an economic interest in the subject matter in controversy or in a party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while a presiding officer, has made a public statement, other than in an agency proceeding, decision, opinion, or order, that commits or appears to commit the presiding officer to reach a particular result or rule in a particular way in the proceeding or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Served as a lawyer in the matter in controversy or was associated with a lawyer who participated substantially as a lawyer in the matter during such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Served in governmental employment and in such capacity participated personally and substantially as a lawyer or public official concerning the proceeding or has publicly expressed in such capacity an opinion concerning the merits of the particular matter in controversy;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 a material witness concerning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personally investigated, prosecuted, or advocated in connection with the matter, the specific controversy underlying the matter, or another pending factually related matter, or pending factually related controversy that may culminate in a contested case, involving the same parties, or 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 But the presiding officer is not required to disqualify the presiding officer solely because the presiding officer determined there was probable cause to initiate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keep informed about the presiding officer’s personal and fiduciary economic interests and make a reasonable effort to keep informed about the personal economic interests of the presiding officer’s spouse or domestic partner and minor children residing in the presiding officer’s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subject to disqualification under this rule, other than for bias or prejudice under subparagraph </w:t>
      </w:r>
      <w:hyperlink r:id="rId12">
        <w:r>
          <w:rPr>
            <w:rStyle w:val="Hyperlink"/>
            <w:rFonts w:ascii="Times New Roman" w:hAnsi="Times New Roman"/>
            <w:b w:val="false"/>
            <w:i w:val="false"/>
            <w:color w:val="000000"/>
            <w:sz w:val="22"/>
          </w:rPr>
          <w:t>15.2(11)</w:t>
        </w:r>
      </w:hyperlink>
      <w:r>
        <w:rPr>
          <w:rFonts w:ascii="Times New Roman" w:hAnsi="Times New Roman"/>
          <w:b w:val="false"/>
          <w:i/>
          <w:color w:val="000000"/>
          <w:sz w:val="22"/>
        </w:rPr>
        <w:t>“a”</w:t>
      </w:r>
      <w:r>
        <w:rPr>
          <w:rFonts w:ascii="Times New Roman" w:hAnsi="Times New Roman"/>
          <w:b w:val="false"/>
          <w:i w:val="false"/>
          <w:color w:val="000000"/>
          <w:sz w:val="22"/>
        </w:rPr>
        <w:t>(1), may disclose on the record the basis of the presiding officer’s disqualification and may ask the parties and their lawyers or representatives to consider, outside the presence of the presiding officer, whether to waive disqualification. If, following the disclosure, the parties and lawyers or party representatives agree, without participation by the presiding officer, that the presiding officer should not be disqualified, the presiding officer may participate in the proceeding. The agreement shall be incorporated into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Supervisory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others subject to the presiding officer’s direction and control to act in a manner consistent with the presiding officer’s obligations under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with supervisory authority for the performance of other presiding officers shall take reasonable measures to ensure that those presiding officers properly discharge their administrative judicial responsibilities, including the prompt disposition of matters before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15.2(13)</w:t>
      </w:r>
      <w:r>
        <w:rPr>
          <w:rFonts w:ascii="Times New Roman" w:hAnsi="Times New Roman"/>
          <w:b w:val="false"/>
          <w:i w:val="false"/>
          <w:color w:val="000000"/>
          <w:sz w:val="22"/>
        </w:rPr>
        <w:t> </w:t>
      </w:r>
      <w:r>
        <w:rPr>
          <w:rFonts w:ascii="Times New Roman" w:hAnsi="Times New Roman"/>
          <w:b w:val="false"/>
          <w:i/>
          <w:color w:val="000000"/>
          <w:sz w:val="22"/>
        </w:rPr>
        <w:t xml:space="preserve">Disability and impairment. </w:t>
      </w:r>
      <w:r>
        <w:rPr>
          <w:rFonts w:ascii="Times New Roman" w:hAnsi="Times New Roman"/>
          <w:b w:val="false"/>
          <w:i w:val="false"/>
          <w:color w:val="000000"/>
          <w:sz w:val="22"/>
        </w:rPr>
        <w:t>A presiding officer having a reasonable belief that the performance of a lawyer, party representative, or another presiding officer is impaired by drugs or alcohol, or by a mental, emotional, or physical condition, shall take appropriate action, which may include a confidential referral to a lawyer or employee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15.2(14)</w:t>
      </w:r>
      <w:r>
        <w:rPr>
          <w:rFonts w:ascii="Times New Roman" w:hAnsi="Times New Roman"/>
          <w:b w:val="false"/>
          <w:i w:val="false"/>
          <w:color w:val="000000"/>
          <w:sz w:val="22"/>
        </w:rPr>
        <w:t> </w:t>
      </w:r>
      <w:r>
        <w:rPr>
          <w:rFonts w:ascii="Times New Roman" w:hAnsi="Times New Roman"/>
          <w:b w:val="false"/>
          <w:i/>
          <w:color w:val="000000"/>
          <w:sz w:val="22"/>
        </w:rPr>
        <w:t xml:space="preserve">Responding to administrative judicial and lawyer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having knowledge that another presiding officer has committed a violation of this Code that raises a substantial question regarding the presiding officer’s honesty, trustworthiness, or fitness as a presiding officer in other respects shall inform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having knowledge that a lawyer has committed a violation of the Iowa Rules of Professional Conduct that raises a substantial question regarding the lawyer’s honesty, trustworthiness, or fitness as a lawyer in other respects shall inform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information indicating a substantial likelihood that another presiding officer has committed a violation of this Code shall take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information indicating a substantial likelihood a lawyer has committed a violation of the Iowa Rules of Professional Conduct shall take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rule does not require disclosure of information gained by a presiding officer while participating in an approved lawyers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15.2(15)</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disciplinary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cooperate and be candid and honest with a lawyer disciplinary agency or other appropriate authority investigating a violation of this Code or the Iowa Rules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retaliate, directly or indirectly, against a person known or suspected to have assisted or cooperated with an investigation of a presiding officer or a lawyer.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481—15.3</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3. </w:t>
      </w:r>
      <w:r>
        <w:rPr>
          <w:rFonts w:ascii="Times New Roman" w:hAnsi="Times New Roman"/>
          <w:b w:val="false"/>
          <w:i w:val="false"/>
          <w:color w:val="000000"/>
          <w:sz w:val="22"/>
        </w:rPr>
        <w:t>An administrative law judge shall conduct the administrative law judge’s personal and extrajudicial activities to minimize the risk of conflict with administrative judicial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Extrajudicial activities in general. </w:t>
      </w:r>
      <w:r>
        <w:rPr>
          <w:rFonts w:ascii="Times New Roman" w:hAnsi="Times New Roman"/>
          <w:b w:val="false"/>
          <w:i w:val="false"/>
          <w:color w:val="000000"/>
          <w:sz w:val="22"/>
        </w:rPr>
        <w:t>An administrative law judge may engage in extrajudicial activities, except as prohibited by law or this Code. However, when engaging in extrajudicial activities, an administrative law judge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will interfere with the proper performance of the administrative law judge’s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will 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Engage in conduct that would appear to a reasonable person to be coercive;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use of agency premises, staff, stationery, equipment, or other resources, except for incidental use for activities that concern the law, the legal system, the provision of legal services, or the administration of justice, or unless such additional use is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Testifying as a character witness. </w:t>
      </w:r>
      <w:r>
        <w:rPr>
          <w:rFonts w:ascii="Times New Roman" w:hAnsi="Times New Roman"/>
          <w:b w:val="false"/>
          <w:i w:val="false"/>
          <w:color w:val="000000"/>
          <w:sz w:val="22"/>
        </w:rPr>
        <w:t>An administrative law judge shall not testify as a character witness in a judicial, administrative, or other adjudicatory proceeding or otherwise vouch for the character of a person in a legal proceeding, except when duly subpoenaed.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Appointments to governmental positions. </w:t>
      </w:r>
      <w:r>
        <w:rPr>
          <w:rFonts w:ascii="Times New Roman" w:hAnsi="Times New Roman"/>
          <w:b w:val="false"/>
          <w:i w:val="false"/>
          <w:color w:val="000000"/>
          <w:sz w:val="22"/>
        </w:rPr>
        <w:t>An administrative law judge shall not accept appointment to a governmental committee, board, commission, or other governmental position that would appear to a reasonable person to undermine the administrative law judge’s independence, integrity, or impartiality or would 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Use of nonpublic information. </w:t>
      </w:r>
      <w:r>
        <w:rPr>
          <w:rFonts w:ascii="Times New Roman" w:hAnsi="Times New Roman"/>
          <w:b w:val="false"/>
          <w:i w:val="false"/>
          <w:color w:val="000000"/>
          <w:sz w:val="22"/>
        </w:rPr>
        <w:t>An administrative law judge shall not intentionally disclose or use nonpublic information acquired in an administrative judicial capacity for any purpose unrelated to the administrative law judge’s administrative judicial or other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Affiliation with discriminatory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hold membership in any organization that practices invidious discrimination on the basis of race, sex, gender, religion, national origin, ethnicity, or sexual orientation. An administrative law judge’s membership in a religious organization as a lawful exercise of the freedom of religion is not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not use the benefits or facilities of an organization if the administrative law judge knows or should know that the organization practices invidious discrimination on one or more of the bases identified in paragraph </w:t>
      </w:r>
      <w:hyperlink r:id="rId13">
        <w:r>
          <w:rPr>
            <w:rStyle w:val="Hyperlink"/>
            <w:rFonts w:ascii="Times New Roman" w:hAnsi="Times New Roman"/>
            <w:b w:val="false"/>
            <w:i w:val="false"/>
            <w:color w:val="000000"/>
            <w:sz w:val="22"/>
          </w:rPr>
          <w:t>15.3(5)</w:t>
        </w:r>
      </w:hyperlink>
      <w:r>
        <w:rPr>
          <w:rFonts w:ascii="Times New Roman" w:hAnsi="Times New Roman"/>
          <w:b w:val="false"/>
          <w:i/>
          <w:color w:val="000000"/>
          <w:sz w:val="22"/>
        </w:rPr>
        <w:t>“a.”</w:t>
      </w:r>
      <w:r>
        <w:rPr>
          <w:rFonts w:ascii="Times New Roman" w:hAnsi="Times New Roman"/>
          <w:b w:val="false"/>
          <w:i w:val="false"/>
          <w:color w:val="000000"/>
          <w:sz w:val="22"/>
        </w:rPr>
        <w:t> An administrative law judge’s attendance at an event in a facility of an organization that the administrative law judge is not permitted to join is not a violation of this rule when the administrative law judge’s attendance is an isolated event that could not reasonably be perceived as an endorsement of the organization’s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educational, religious, charitable, fraternal, or civic organizations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subrule </w:t>
      </w:r>
      <w:hyperlink r:id="rId14">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an administrative law judge may participate in activities sponsored by organizations or governmental entities concerned with the law, the legal system, the provision of legal services, or the administration of justice, and those sponsored by or on behalf of educational, religious, charitable, fraternal, or civic organizations not conducted for profit, including but not limited to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such an organization or entity in planning related to fundraising, volunteering goods or services at fundraising events, and participating in the management and investment of the organization’s or entity’s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Soliciting contributions for such an organization or entity but only from members of the administrative law judge’s family or from other administrative law judges or coworkers in the administrative law judge’s immediate office over whom the administrative law judge does not exercise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Appearing or speaking at, receiving an award or other recognition at, being featured on the program of, and permitting an administrative law judge’s title to be used in connection with an event of such an organization or entity, but if the event serves a fundraising purpose, the administrative law judge may participate only if the event concerns the law, the legal system, the provision of legal services, or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recommendations to such a public or private fund-granting organization or entity in connection with its programs and activities but only if the organization or entity is concerned with the law, the legal system, the provision of legal services, or the administration of justice;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Serving as an officer, director, trustee, or nonlegal advisor of such an organization or entity unless it is likely that the organization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engaged in proceedings that would ordinarily come before the administrative law judge;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frequently be engaged in adversary proceedings before the agency in which the administrative law judge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may encourage lawyers to provide pro bono publico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subrule </w:t>
      </w:r>
      <w:hyperlink r:id="rId15">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an administrative law judge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leadership in identifying and addressing issues involving equal access to the justice system; developing public education programs; engaging in activities to promote the fair administration of justice and convening, participating or assisting in advisory committees and community collaborations devoted to the improvement of the law, the legal system, the provision of legal services, or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Endorse projects and programs directly related to the law, the legal system, the provision of legal services, and the administration of justice to those coming before the courts or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Participate in programs that concern the law or that promote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15.3(7)</w:t>
      </w:r>
      <w:r>
        <w:rPr>
          <w:rFonts w:ascii="Times New Roman" w:hAnsi="Times New Roman"/>
          <w:b w:val="false"/>
          <w:i w:val="false"/>
          <w:color w:val="000000"/>
          <w:sz w:val="22"/>
        </w:rPr>
        <w:t> </w:t>
      </w:r>
      <w:r>
        <w:rPr>
          <w:rFonts w:ascii="Times New Roman" w:hAnsi="Times New Roman"/>
          <w:b w:val="false"/>
          <w:i/>
          <w:color w:val="000000"/>
          <w:sz w:val="22"/>
        </w:rPr>
        <w:t xml:space="preserve">Appointments to fiduciary positions.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accept an appointment to serve in a fiduciary position, such as executor, administrator, trustee, guardian, attorney-in-fact, or other personal representative, except for the estate, trust, or person of a member of the administrative law judge’s family, and then only if such service will not interfere with the proper performance of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serve in a fiduciary position if the administrative law judge as fiduciary will likely be engaged in proceedings that would ordinarily come before the administrative law judge or if the estate, trust, or ward becomes involved in adversary proceedings before the agency in which the administrative law judge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acting in a fiduciary capacity shall be subject to the same restrictions on engaging in financial activities that apply to an administrative law judge personally.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person who is serving in a fiduciary position becomes an administrative law judge, the administrative law judge must comply with this subrule as soon as reasonably practicable but in no event later than six months after becoming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15.3(8)</w:t>
      </w:r>
      <w:r>
        <w:rPr>
          <w:rFonts w:ascii="Times New Roman" w:hAnsi="Times New Roman"/>
          <w:b w:val="false"/>
          <w:i w:val="false"/>
          <w:color w:val="000000"/>
          <w:sz w:val="22"/>
        </w:rPr>
        <w:t> </w:t>
      </w:r>
      <w:r>
        <w:rPr>
          <w:rFonts w:ascii="Times New Roman" w:hAnsi="Times New Roman"/>
          <w:b w:val="false"/>
          <w:i/>
          <w:color w:val="000000"/>
          <w:sz w:val="22"/>
        </w:rPr>
        <w:t xml:space="preserve">Services as arbitrator or mediator. </w:t>
      </w:r>
      <w:r>
        <w:rPr>
          <w:rFonts w:ascii="Times New Roman" w:hAnsi="Times New Roman"/>
          <w:b w:val="false"/>
          <w:i w:val="false"/>
          <w:color w:val="000000"/>
          <w:sz w:val="22"/>
        </w:rPr>
        <w:t>An administrative law judge shall not act as an arbitrator or a mediator or perform other judicial functions apart from the administrative law judge’s official duties unless expressly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15.3(9)</w:t>
      </w:r>
      <w:r>
        <w:rPr>
          <w:rFonts w:ascii="Times New Roman" w:hAnsi="Times New Roman"/>
          <w:b w:val="false"/>
          <w:i w:val="false"/>
          <w:color w:val="000000"/>
          <w:sz w:val="22"/>
        </w:rPr>
        <w:t> </w:t>
      </w:r>
      <w:r>
        <w:rPr>
          <w:rFonts w:ascii="Times New Roman" w:hAnsi="Times New Roman"/>
          <w:b w:val="false"/>
          <w:i/>
          <w:color w:val="000000"/>
          <w:sz w:val="22"/>
        </w:rPr>
        <w:t xml:space="preserve">Practice of law. </w:t>
      </w:r>
      <w:r>
        <w:rPr>
          <w:rFonts w:ascii="Times New Roman" w:hAnsi="Times New Roman"/>
          <w:b w:val="false"/>
          <w:i w:val="false"/>
          <w:color w:val="000000"/>
          <w:sz w:val="22"/>
        </w:rPr>
        <w:t>An administrative law judge shall not engage in the private practice of law. An administrative law judge may act pro se and may, without compensation, give legal advice to and draft or review documents for a member of the administrative law judge’s family but is prohibited from serving as the family member’s lawyer before the agency in which the administrative law judge serves. An administrative law judge serving in the administrative hearings division of the department is prohibited from serving as the family member’s lawyer in any proceeding in which another administrative law judge serving in the division is the presiding officer, regardless of whether the proceeding is being conducted on behalf of the department or another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15.3(10)</w:t>
      </w:r>
      <w:r>
        <w:rPr>
          <w:rFonts w:ascii="Times New Roman" w:hAnsi="Times New Roman"/>
          <w:b w:val="false"/>
          <w:i w:val="false"/>
          <w:color w:val="000000"/>
          <w:sz w:val="22"/>
        </w:rPr>
        <w:t> </w:t>
      </w:r>
      <w:r>
        <w:rPr>
          <w:rFonts w:ascii="Times New Roman" w:hAnsi="Times New Roman"/>
          <w:b w:val="false"/>
          <w:i/>
          <w:color w:val="000000"/>
          <w:sz w:val="22"/>
        </w:rPr>
        <w:t xml:space="preserve">Financial, business, or remunerative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may hold and manage investments of the administrative law judge and members of the administrative law judge’s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serve as an officer, director, manager, general partner, advisor, or employee of any business entity, except that an administrative law judge may manage or participate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business closely held by the administrative law judge or members of the administrative law judge’s family;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entity primarily engaged in investment of the financial resources of the administrative law judge or members of the administrative law judge’s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not engage in financial activities permitted under paragraphs </w:t>
      </w:r>
      <w:hyperlink r:id="rId16">
        <w:r>
          <w:rPr>
            <w:rStyle w:val="Hyperlink"/>
            <w:rFonts w:ascii="Times New Roman" w:hAnsi="Times New Roman"/>
            <w:b w:val="false"/>
            <w:i w:val="false"/>
            <w:color w:val="000000"/>
            <w:sz w:val="22"/>
          </w:rPr>
          <w:t>15.3(10)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if the financial activities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Interfere with the proper performance of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Involve the administrative law judge in frequent transactions or continuing business relationships with lawyers or other persons likely to come before the agency in which the administrative law judge serves;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 in violation of other provisions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15.3(11)</w:t>
      </w:r>
      <w:r>
        <w:rPr>
          <w:rFonts w:ascii="Times New Roman" w:hAnsi="Times New Roman"/>
          <w:b w:val="false"/>
          <w:i w:val="false"/>
          <w:color w:val="000000"/>
          <w:sz w:val="22"/>
        </w:rPr>
        <w:t> </w:t>
      </w:r>
      <w:r>
        <w:rPr>
          <w:rFonts w:ascii="Times New Roman" w:hAnsi="Times New Roman"/>
          <w:b w:val="false"/>
          <w:i/>
          <w:color w:val="000000"/>
          <w:sz w:val="22"/>
        </w:rPr>
        <w:t xml:space="preserve">Compensation for extrajudicial activities. </w:t>
      </w:r>
      <w:r>
        <w:rPr>
          <w:rFonts w:ascii="Times New Roman" w:hAnsi="Times New Roman"/>
          <w:b w:val="false"/>
          <w:i w:val="false"/>
          <w:color w:val="000000"/>
          <w:sz w:val="22"/>
        </w:rPr>
        <w:t>An administrative law judge may accept reasonable compensation for extrajudicial activities permitted by this Code and other law unless such acceptance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w:t>
      </w:r>
      <w:r>
        <w:rPr>
          <w:rFonts w:ascii="Times New Roman" w:hAnsi="Times New Roman"/>
          <w:b w:val="false"/>
          <w:i w:val="false"/>
          <w:color w:val="000000"/>
          <w:sz w:val="22"/>
        </w:rPr>
        <w:t> </w:t>
      </w:r>
      <w:r>
        <w:rPr>
          <w:rFonts w:ascii="Times New Roman" w:hAnsi="Times New Roman"/>
          <w:b w:val="false"/>
          <w:i/>
          <w:color w:val="000000"/>
          <w:sz w:val="22"/>
        </w:rPr>
        <w:t xml:space="preserve">Acceptance of gifts, loans, bequests, benefits, or other things of value. </w:t>
      </w:r>
      <w:r>
        <w:rPr>
          <w:rFonts w:ascii="Times New Roman" w:hAnsi="Times New Roman"/>
          <w:b w:val="false"/>
          <w:i w:val="false"/>
          <w:color w:val="000000"/>
          <w:sz w:val="22"/>
        </w:rPr>
        <w:t xml:space="preserve">An administrative law judge, an administrative law judge’s spouse, and an administrative law judge’s dependent child shall not accept or receive any gift, loan, bequest, benefit, or other thing of value if acceptance or receipt is prohibited by Iowa Code chapter </w:t>
      </w:r>
      <w:hyperlink r:id="rId17">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any other law or if acceptance or receipt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expenses and waivers of fees or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prohibited by subrules </w:t>
      </w:r>
      <w:hyperlink r:id="rId18">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15.3(12)</w:t>
        </w:r>
      </w:hyperlink>
      <w:r>
        <w:rPr>
          <w:rFonts w:ascii="Times New Roman" w:hAnsi="Times New Roman"/>
          <w:b w:val="false"/>
          <w:i w:val="false"/>
          <w:color w:val="000000"/>
          <w:sz w:val="22"/>
        </w:rPr>
        <w:t xml:space="preserve">, Iowa Code chapter </w:t>
      </w:r>
      <w:hyperlink r:id="rId20">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or other law, an administrative law judge may accept reimbursement of necessary and reasonable expenses for travel, food, lodging, or other incidental expenses, or a waiver or partial waiver of fees or charges for registration, tuition, and similar items, from sources other than the administrative law judge’s employing entity, if the expenses or charges are associated with the administrative law judge’s participation in extrajudicial activities permitted by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of expenses for necessary travel, food, lodging, or other incidental expenses shall be limited to the actual costs reasonably incurred by the administrative law judge and, when appropriate to the occasion, by the administrative law judge’s spouse, domestic partner, or guest.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481—15.4</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4. </w:t>
      </w:r>
      <w:r>
        <w:rPr>
          <w:rFonts w:ascii="Times New Roman" w:hAnsi="Times New Roman"/>
          <w:b w:val="false"/>
          <w:i w:val="false"/>
          <w:color w:val="000000"/>
          <w:sz w:val="22"/>
        </w:rPr>
        <w:t>An administrative law judge shall not engage in political or campaign activity that is inconsistent with the independence, integrity, or impartiality of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Political and campaign activities of administrative law judges.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permitted by law, an administrative law judge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 as a leader in, or hold an office in, a political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speeches on behalf of a political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Publicly endorse or oppose a candidate for any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 funds for, pay an assessment to, or make a contribution to a political organization, a candidate for judicial retention, or a candidate for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Attend or purchase tickets for dinners or other events sponsored by a political organization or a candidate for public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a precinct caucus, except as provided for in paragraph </w:t>
      </w:r>
      <w:hyperlink r:id="rId21">
        <w:r>
          <w:rPr>
            <w:rStyle w:val="Hyperlink"/>
            <w:rFonts w:ascii="Times New Roman" w:hAnsi="Times New Roman"/>
            <w:b w:val="false"/>
            <w:i w:val="false"/>
            <w:color w:val="000000"/>
            <w:sz w:val="22"/>
          </w:rPr>
          <w:t>15.4(1)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22">
        <w:r>
          <w:rPr>
            <w:rStyle w:val="Hyperlink"/>
            <w:rFonts w:ascii="Times New Roman" w:hAnsi="Times New Roman"/>
            <w:b w:val="false"/>
            <w:i w:val="false"/>
            <w:color w:val="000000"/>
            <w:sz w:val="22"/>
          </w:rPr>
          <w:t>15.4(1)</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prohibit an administrative law judge from participating in a precinct caucus merely to vote for, or support in the delegate selection process, a candidate for the office of President of the United States, provided that the administrative law judge does not speak publicly on behalf of or against a candidate, encourage other caucus participants to support or oppose a candidate, or otherwise engage in conduct that is inconsistent with the independence, integrity, or impartiality of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take reasonable measures to ensure that other persons do not undertake, on behalf of the administrative law judge, any activities prohibited under paragraph </w:t>
      </w:r>
      <w:hyperlink r:id="rId23">
        <w:r>
          <w:rPr>
            <w:rStyle w:val="Hyperlink"/>
            <w:rFonts w:ascii="Times New Roman" w:hAnsi="Times New Roman"/>
            <w:b w:val="false"/>
            <w:i w:val="false"/>
            <w:color w:val="000000"/>
            <w:sz w:val="22"/>
          </w:rPr>
          <w:t>15.4(1)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Activities of administrative law judges who become candidates for nonjudicial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becoming a candidate for nonjudicial elective office, an administrative law judge shall resign from the administrative law judge position unless permitted by law to continue to hold the administrative law judge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becoming a candidate for nonjudicial appointive office, an administrative law judge is not required to resign from the administrative law judge position provided that the administrative law judge complies with the other provisions of this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481—15.5</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definitions,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Code consists of four canons, each of which is codified as the introductory paragraph of an administrative rule, and numbered rules under each canon, which are codified as subrules. Subrule </w:t>
      </w:r>
      <w:hyperlink r:id="rId24">
        <w:r>
          <w:rPr>
            <w:rStyle w:val="Hyperlink"/>
            <w:rFonts w:ascii="Times New Roman" w:hAnsi="Times New Roman"/>
            <w:b w:val="false"/>
            <w:i w:val="false"/>
            <w:color w:val="000000"/>
            <w:sz w:val="22"/>
          </w:rPr>
          <w:t>15.5(3)</w:t>
        </w:r>
      </w:hyperlink>
      <w:r>
        <w:rPr>
          <w:rFonts w:ascii="Times New Roman" w:hAnsi="Times New Roman"/>
          <w:b w:val="false"/>
          <w:i w:val="false"/>
          <w:color w:val="000000"/>
          <w:sz w:val="22"/>
        </w:rPr>
        <w:t xml:space="preserve"> establishes when the various rules apply to a presiding officer or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canons state overarching principles of judicial ethics that all administrative law judges and presiding officers, as applicable, must observe. Although an administrative law judge or presiding officer may be disciplined only for violating an applicable rule, the canons provide important guidance in interpreting the rules. Where a rule contains a permissive term, such as “may” or “should,” the conduct being addressed is committed to the personal and professional discretion of the administrative law judge or presiding officer in question, and no disciplinary action should be taken for action or inaction within the bounds of such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requirement of Iowa Code section </w:t>
      </w:r>
      <w:hyperlink r:id="rId25">
        <w:r>
          <w:rPr>
            <w:rStyle w:val="Hyperlink"/>
            <w:rFonts w:ascii="Times New Roman" w:hAnsi="Times New Roman"/>
            <w:b w:val="false"/>
            <w:i w:val="false"/>
            <w:color w:val="000000"/>
            <w:sz w:val="22"/>
          </w:rPr>
          <w:t>10A.801(7)</w:t>
        </w:r>
      </w:hyperlink>
      <w:r>
        <w:rPr>
          <w:rFonts w:ascii="Times New Roman" w:hAnsi="Times New Roman"/>
          <w:b w:val="false"/>
          <w:i/>
          <w:color w:val="000000"/>
          <w:sz w:val="22"/>
        </w:rPr>
        <w:t>“d,”</w:t>
      </w:r>
      <w:r>
        <w:rPr>
          <w:rFonts w:ascii="Times New Roman" w:hAnsi="Times New Roman"/>
          <w:b w:val="false"/>
          <w:i w:val="false"/>
          <w:color w:val="000000"/>
          <w:sz w:val="22"/>
        </w:rPr>
        <w:t xml:space="preserve"> this Code is similar in function and substantially equivalent to the Iowa Code of Judicial Conduct adopted by the Iowa Supreme Court and contained in Chapter 51 of the Iowa Court Rules. The Iowa Code of Judicial Conduct includes accompanying comments to the rules that may provide useful guidance regarding the purpose, meaning, and proper application of the corresponding rule in this Code. The comments contain explanatory material and, in some instances, provide examples of permitted or prohibited conduct. The comments may also identify aspirational goals for administrative law judges and presiding officers. To implement fully the principles of this Code as articulated in the canons, administrative law judges and presiding officers should strive to exceed the standards of conduct established by the rules, holding themselves to the highest ethical standards and seeking to achieve those aspirational goals, thereby enhancing the dignity of the administrative judicial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rules of this Code are rules of reason that should be applied consistent with constitutional requirements, statutes, administrative rules, and decisional law, and with due regard for all relevant circumstances. The rules should not be interpreted to impinge upon the essential independence of administrative law judges and presiding officers in making administrative judicial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Although the black letter of the rules is binding and enforceable, it is not contemplated that every transgression will result in the imposition of discipline. Whether discipline should be imposed should be determined by the presiding officer’s appointing authority through a reasonable and reasoned application of the rules and should depend upon factors such as the seriousness of the transgression, the facts and circumstances that existed at the time of the transgression, the extent of any pattern of improper activity, whether there have been previous violations, and the effect of the improper activity upon the administrative judicial system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This Code is not designed or intended as a basis for civil or criminal liability. Neither is it intended to be the basis for parties to seek collateral remedies against each other or to obtain tactical advantages in proceedings before a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law judge”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acts as a presiding officer under the authority of Iowa Code section </w:t>
      </w:r>
      <w:hyperlink r:id="rId26">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who is not an agency head or a member of a multimembered agency head. This includes but is not limited to administrative law judges employed by the administrative hearings division of the department, the board of parole, and deputy workers’ compensation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“affiliated”</w:t>
      </w:r>
      <w:r>
        <w:rPr>
          <w:rFonts w:ascii="Times New Roman" w:hAnsi="Times New Roman"/>
          <w:b w:val="false"/>
          <w:i w:val="false"/>
          <w:color w:val="000000"/>
          <w:sz w:val="22"/>
        </w:rPr>
        <w:t> </w:t>
      </w:r>
      <w:r>
        <w:rPr>
          <w:rFonts w:ascii="Times New Roman" w:hAnsi="Times New Roman"/>
          <w:b w:val="false"/>
          <w:i w:val="false"/>
          <w:color w:val="000000"/>
          <w:sz w:val="22"/>
        </w:rPr>
        <w:t>mean any person, domestic or foreign, that controls, is controlled by, or is under common control with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authority”</w:t>
      </w:r>
      <w:r>
        <w:rPr>
          <w:rFonts w:ascii="Times New Roman" w:hAnsi="Times New Roman"/>
          <w:b w:val="false"/>
          <w:i w:val="false"/>
          <w:color w:val="000000"/>
          <w:sz w:val="22"/>
        </w:rPr>
        <w:t> </w:t>
      </w:r>
      <w:r>
        <w:rPr>
          <w:rFonts w:ascii="Times New Roman" w:hAnsi="Times New Roman"/>
          <w:b w:val="false"/>
          <w:i w:val="false"/>
          <w:color w:val="000000"/>
          <w:sz w:val="22"/>
        </w:rPr>
        <w:t>means the authority having responsibility for the initiation of a disciplinary process in connection with the violation to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“associated”</w:t>
      </w:r>
      <w:r>
        <w:rPr>
          <w:rFonts w:ascii="Times New Roman" w:hAnsi="Times New Roman"/>
          <w:b w:val="false"/>
          <w:i w:val="false"/>
          <w:color w:val="000000"/>
          <w:sz w:val="22"/>
        </w:rPr>
        <w:t> </w:t>
      </w:r>
      <w:r>
        <w:rPr>
          <w:rFonts w:ascii="Times New Roman" w:hAnsi="Times New Roman"/>
          <w:b w:val="false"/>
          <w:i w:val="false"/>
          <w:color w:val="000000"/>
          <w:sz w:val="22"/>
        </w:rPr>
        <w:t>means any person who employs, is employed by, or is under common employment with another person; any person who acts in cooperation, consultation, or concert with, or at the request of, another person; and any spouse, domestic partner, or person within the third degree of relationship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“Contribution”</w:t>
      </w:r>
      <w:r>
        <w:rPr>
          <w:rFonts w:ascii="Times New Roman" w:hAnsi="Times New Roman"/>
          <w:b w:val="false"/>
          <w:i w:val="false"/>
          <w:color w:val="000000"/>
          <w:sz w:val="22"/>
        </w:rPr>
        <w:t> </w:t>
      </w:r>
      <w:r>
        <w:rPr>
          <w:rFonts w:ascii="Times New Roman" w:hAnsi="Times New Roman"/>
          <w:b w:val="false"/>
          <w:i w:val="false"/>
          <w:color w:val="000000"/>
          <w:sz w:val="22"/>
        </w:rPr>
        <w:t>means both financial and in-kind contributions, such as goods, professional or volunteer services, advertising, and other types of assistance, which, if obtained by the recipient otherwise, would require a financial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“controlled”</w:t>
      </w:r>
      <w:r>
        <w:rPr>
          <w:rFonts w:ascii="Times New Roman" w:hAnsi="Times New Roman"/>
          <w:b w:val="false"/>
          <w:i w:val="false"/>
          <w:color w:val="000000"/>
          <w:sz w:val="22"/>
        </w:rPr>
        <w:t> </w:t>
      </w:r>
      <w:r>
        <w:rPr>
          <w:rFonts w:ascii="Times New Roman" w:hAnsi="Times New Roman"/>
          <w:b w:val="false"/>
          <w:i w:val="false"/>
          <w:color w:val="000000"/>
          <w:sz w:val="22"/>
        </w:rPr>
        <w:t>each refers to the power of one person to exercise, directly or indirectly or through one or more persons, a dominating, governing, or controlling influence over another person, whether by contractual relationship (including without limitation a debtor-creditor relationship), by family relationship, by ownership, by dominion over, or by power to vote any category or voting interest (including without limitation shares of common stock, shares of voting preferred stock, and partnership interests), or by exercising (or wielding the power to exercise) in any manner dominion over a majority of directors, partners, trustees, or other persons performing similar functions. For more information, see definition of “affiliate” and “affiliated.”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 minimis,”</w:t>
      </w:r>
      <w:r>
        <w:rPr>
          <w:rFonts w:ascii="Times New Roman" w:hAnsi="Times New Roman"/>
          <w:b w:val="false"/>
          <w:i w:val="false"/>
          <w:color w:val="000000"/>
          <w:sz w:val="22"/>
        </w:rPr>
        <w:t> </w:t>
      </w:r>
      <w:r>
        <w:rPr>
          <w:rFonts w:ascii="Times New Roman" w:hAnsi="Times New Roman"/>
          <w:b w:val="false"/>
          <w:i w:val="false"/>
          <w:color w:val="000000"/>
          <w:sz w:val="22"/>
        </w:rPr>
        <w:t>in the context of interests pertaining to disqualification of an administrative law judge, means an insignificant interest that could not raise a reasonable question regarding the administrative law judge’s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“Domestic partner”</w:t>
      </w:r>
      <w:r>
        <w:rPr>
          <w:rFonts w:ascii="Times New Roman" w:hAnsi="Times New Roman"/>
          <w:b w:val="false"/>
          <w:i w:val="false"/>
          <w:color w:val="000000"/>
          <w:sz w:val="22"/>
        </w:rPr>
        <w:t> </w:t>
      </w:r>
      <w:r>
        <w:rPr>
          <w:rFonts w:ascii="Times New Roman" w:hAnsi="Times New Roman"/>
          <w:b w:val="false"/>
          <w:i w:val="false"/>
          <w:color w:val="000000"/>
          <w:sz w:val="22"/>
        </w:rPr>
        <w:t>means a person with whom another person maintains a household and an intimate relationship, other than a person to whom he or she is legally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“Economic interest”</w:t>
      </w:r>
      <w:r>
        <w:rPr>
          <w:rFonts w:ascii="Times New Roman" w:hAnsi="Times New Roman"/>
          <w:b w:val="false"/>
          <w:i w:val="false"/>
          <w:color w:val="000000"/>
          <w:sz w:val="22"/>
        </w:rPr>
        <w:t> </w:t>
      </w:r>
      <w:r>
        <w:rPr>
          <w:rFonts w:ascii="Times New Roman" w:hAnsi="Times New Roman"/>
          <w:b w:val="false"/>
          <w:i w:val="false"/>
          <w:color w:val="000000"/>
          <w:sz w:val="22"/>
        </w:rPr>
        <w:t>means ownership of more than a de minimis legal or equitable interest. Except for situations in which the presiding officer participates in the management of such a legal or equitable interest, or the interest could be substantially affected by the outcome of a proceeding before a presiding officer, economic interest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interest in the individual holdings within a mutual or common investment fund;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interest in securities held by an educational, religious, charitable, fraternal, or civic organization in which the presiding officer or the presiding officer’s spouse, domestic partner, parent, or child serves as a director, an officer, an advisor, or other participant;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deposit in a financial institution or deposits or proprietary interests the presiding officer may maintain as a member of a mutual savings association or credit union, or similar proprietary interests;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interest in the issuer of government securities held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“Fiduciary”</w:t>
      </w:r>
      <w:r>
        <w:rPr>
          <w:rFonts w:ascii="Times New Roman" w:hAnsi="Times New Roman"/>
          <w:b w:val="false"/>
          <w:i w:val="false"/>
          <w:color w:val="000000"/>
          <w:sz w:val="22"/>
        </w:rPr>
        <w:t> </w:t>
      </w:r>
      <w:r>
        <w:rPr>
          <w:rFonts w:ascii="Times New Roman" w:hAnsi="Times New Roman"/>
          <w:b w:val="false"/>
          <w:i w:val="false"/>
          <w:color w:val="000000"/>
          <w:sz w:val="22"/>
        </w:rPr>
        <w:t>includes relationships such as executor, administrator, trustee,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“Impartial,”</w:t>
      </w:r>
      <w:r>
        <w:rPr>
          <w:rFonts w:ascii="Times New Roman" w:hAnsi="Times New Roman"/>
          <w:b w:val="false"/>
          <w:i w:val="false"/>
          <w:color w:val="000000"/>
          <w:sz w:val="22"/>
        </w:rPr>
        <w:t> </w:t>
      </w:r>
      <w:r>
        <w:rPr>
          <w:rFonts w:ascii="Times New Roman" w:hAnsi="Times New Roman"/>
          <w:b w:val="false"/>
          <w:i/>
          <w:color w:val="000000"/>
          <w:sz w:val="22"/>
        </w:rPr>
        <w:t>“impartiality,”</w:t>
      </w:r>
      <w:r>
        <w:rPr>
          <w:rFonts w:ascii="Times New Roman" w:hAnsi="Times New Roman"/>
          <w:b w:val="false"/>
          <w:i w:val="false"/>
          <w:color w:val="000000"/>
          <w:sz w:val="22"/>
        </w:rPr>
        <w:t xml:space="preserve"> and </w:t>
      </w:r>
      <w:r>
        <w:rPr>
          <w:rFonts w:ascii="Times New Roman" w:hAnsi="Times New Roman"/>
          <w:b w:val="false"/>
          <w:i/>
          <w:color w:val="000000"/>
          <w:sz w:val="22"/>
        </w:rPr>
        <w:t>“impartially”</w:t>
      </w:r>
      <w:r>
        <w:rPr>
          <w:rFonts w:ascii="Times New Roman" w:hAnsi="Times New Roman"/>
          <w:b w:val="false"/>
          <w:i w:val="false"/>
          <w:color w:val="000000"/>
          <w:sz w:val="22"/>
        </w:rPr>
        <w:t xml:space="preserve"> mean absence of bias or prejudice in favor of, or against, particular parties or classes of parties, as well as maintenance of an open mind in considering issues that may come before a presiding officer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“Impending matter”</w:t>
      </w:r>
      <w:r>
        <w:rPr>
          <w:rFonts w:ascii="Times New Roman" w:hAnsi="Times New Roman"/>
          <w:b w:val="false"/>
          <w:i w:val="false"/>
          <w:color w:val="000000"/>
          <w:sz w:val="22"/>
        </w:rPr>
        <w:t> </w:t>
      </w:r>
      <w:r>
        <w:rPr>
          <w:rFonts w:ascii="Times New Roman" w:hAnsi="Times New Roman"/>
          <w:b w:val="false"/>
          <w:i w:val="false"/>
          <w:color w:val="000000"/>
          <w:sz w:val="22"/>
        </w:rPr>
        <w:t>is a matter that is imminent or expected to occur in the near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“Impropriety”</w:t>
      </w:r>
      <w:r>
        <w:rPr>
          <w:rFonts w:ascii="Times New Roman" w:hAnsi="Times New Roman"/>
          <w:b w:val="false"/>
          <w:i w:val="false"/>
          <w:color w:val="000000"/>
          <w:sz w:val="22"/>
        </w:rPr>
        <w:t> </w:t>
      </w:r>
      <w:r>
        <w:rPr>
          <w:rFonts w:ascii="Times New Roman" w:hAnsi="Times New Roman"/>
          <w:b w:val="false"/>
          <w:i w:val="false"/>
          <w:color w:val="000000"/>
          <w:sz w:val="22"/>
        </w:rPr>
        <w:t>includes conduct that violates the law, court rules, or provisions of this Code and conduct that undermines a presiding officer’s or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“Independence”</w:t>
      </w:r>
      <w:r>
        <w:rPr>
          <w:rFonts w:ascii="Times New Roman" w:hAnsi="Times New Roman"/>
          <w:b w:val="false"/>
          <w:i w:val="false"/>
          <w:color w:val="000000"/>
          <w:sz w:val="22"/>
        </w:rPr>
        <w:t> </w:t>
      </w:r>
      <w:r>
        <w:rPr>
          <w:rFonts w:ascii="Times New Roman" w:hAnsi="Times New Roman"/>
          <w:b w:val="false"/>
          <w:i w:val="false"/>
          <w:color w:val="000000"/>
          <w:sz w:val="22"/>
        </w:rPr>
        <w:t>means a presiding officer’s or administrative law judge’s freedom from influence or controls other than those established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“Integrity”</w:t>
      </w:r>
      <w:r>
        <w:rPr>
          <w:rFonts w:ascii="Times New Roman" w:hAnsi="Times New Roman"/>
          <w:b w:val="false"/>
          <w:i w:val="false"/>
          <w:color w:val="000000"/>
          <w:sz w:val="22"/>
        </w:rPr>
        <w:t> </w:t>
      </w:r>
      <w:r>
        <w:rPr>
          <w:rFonts w:ascii="Times New Roman" w:hAnsi="Times New Roman"/>
          <w:b w:val="false"/>
          <w:i w:val="false"/>
          <w:color w:val="000000"/>
          <w:sz w:val="22"/>
        </w:rPr>
        <w:t>means probity, fairness, honesty, uprightness, and soundness of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“Knowingly,”</w:t>
      </w:r>
      <w:r>
        <w:rPr>
          <w:rFonts w:ascii="Times New Roman" w:hAnsi="Times New Roman"/>
          <w:b w:val="false"/>
          <w:i w:val="false"/>
          <w:color w:val="000000"/>
          <w:sz w:val="22"/>
        </w:rPr>
        <w:t> </w:t>
      </w:r>
      <w:r>
        <w:rPr>
          <w:rFonts w:ascii="Times New Roman" w:hAnsi="Times New Roman"/>
          <w:b w:val="false"/>
          <w:i/>
          <w:color w:val="000000"/>
          <w:sz w:val="22"/>
        </w:rPr>
        <w:t>“knowledge,”</w:t>
      </w:r>
      <w:r>
        <w:rPr>
          <w:rFonts w:ascii="Times New Roman" w:hAnsi="Times New Roman"/>
          <w:b w:val="false"/>
          <w:i w:val="false"/>
          <w:color w:val="000000"/>
          <w:sz w:val="22"/>
        </w:rPr>
        <w:t xml:space="preserve"> </w:t>
      </w:r>
      <w:r>
        <w:rPr>
          <w:rFonts w:ascii="Times New Roman" w:hAnsi="Times New Roman"/>
          <w:b w:val="false"/>
          <w:i/>
          <w:color w:val="000000"/>
          <w:sz w:val="22"/>
        </w:rPr>
        <w:t>“known,”</w:t>
      </w:r>
      <w:r>
        <w:rPr>
          <w:rFonts w:ascii="Times New Roman" w:hAnsi="Times New Roman"/>
          <w:b w:val="false"/>
          <w:i w:val="false"/>
          <w:color w:val="000000"/>
          <w:sz w:val="22"/>
        </w:rPr>
        <w:t xml:space="preserve"> and </w:t>
      </w:r>
      <w:r>
        <w:rPr>
          <w:rFonts w:ascii="Times New Roman" w:hAnsi="Times New Roman"/>
          <w:b w:val="false"/>
          <w:i/>
          <w:color w:val="000000"/>
          <w:sz w:val="22"/>
        </w:rPr>
        <w:t>“knows”</w:t>
      </w:r>
      <w:r>
        <w:rPr>
          <w:rFonts w:ascii="Times New Roman" w:hAnsi="Times New Roman"/>
          <w:b w:val="false"/>
          <w:i w:val="false"/>
          <w:color w:val="000000"/>
          <w:sz w:val="22"/>
        </w:rPr>
        <w:t xml:space="preserve"> mean actual knowledge of the fact in question. A person’s knowledge may be inferred from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w:t>
      </w:r>
      <w:r>
        <w:rPr>
          <w:rFonts w:ascii="Times New Roman" w:hAnsi="Times New Roman"/>
          <w:b w:val="false"/>
          <w:i w:val="false"/>
          <w:color w:val="000000"/>
          <w:sz w:val="22"/>
        </w:rPr>
        <w:t> </w:t>
      </w:r>
      <w:r>
        <w:rPr>
          <w:rFonts w:ascii="Times New Roman" w:hAnsi="Times New Roman"/>
          <w:b w:val="false"/>
          <w:i w:val="false"/>
          <w:color w:val="000000"/>
          <w:sz w:val="22"/>
        </w:rPr>
        <w:t>encompasses administrative rules and regulations, court rules, ordinances, statutes, constitutional provisions, and decisional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a presiding officer’s family residing in the presiding officer’s household”</w:t>
      </w:r>
      <w:r>
        <w:rPr>
          <w:rFonts w:ascii="Times New Roman" w:hAnsi="Times New Roman"/>
          <w:b w:val="false"/>
          <w:i w:val="false"/>
          <w:color w:val="000000"/>
          <w:sz w:val="22"/>
        </w:rPr>
        <w:t> </w:t>
      </w:r>
      <w:r>
        <w:rPr>
          <w:rFonts w:ascii="Times New Roman" w:hAnsi="Times New Roman"/>
          <w:b w:val="false"/>
          <w:i w:val="false"/>
          <w:color w:val="000000"/>
          <w:sz w:val="22"/>
        </w:rPr>
        <w:t>means any relative of a presiding officer by blood or marriage, or a person treated by a presiding officer as a member of the presiding officer’s family, who resides in the presiding officer’s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the administrative law judge’s family”</w:t>
      </w:r>
      <w:r>
        <w:rPr>
          <w:rFonts w:ascii="Times New Roman" w:hAnsi="Times New Roman"/>
          <w:b w:val="false"/>
          <w:i w:val="false"/>
          <w:color w:val="000000"/>
          <w:sz w:val="22"/>
        </w:rPr>
        <w:t> </w:t>
      </w:r>
      <w:r>
        <w:rPr>
          <w:rFonts w:ascii="Times New Roman" w:hAnsi="Times New Roman"/>
          <w:b w:val="false"/>
          <w:i w:val="false"/>
          <w:color w:val="000000"/>
          <w:sz w:val="22"/>
        </w:rPr>
        <w:t>means a spouse, domestic partner, child, grandchild, parent, grandparent, or other relative or person with whom the administrative law judge maintains a close familial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the presiding officer’s family”</w:t>
      </w:r>
      <w:r>
        <w:rPr>
          <w:rFonts w:ascii="Times New Roman" w:hAnsi="Times New Roman"/>
          <w:b w:val="false"/>
          <w:i w:val="false"/>
          <w:color w:val="000000"/>
          <w:sz w:val="22"/>
        </w:rPr>
        <w:t> </w:t>
      </w:r>
      <w:r>
        <w:rPr>
          <w:rFonts w:ascii="Times New Roman" w:hAnsi="Times New Roman"/>
          <w:b w:val="false"/>
          <w:i w:val="false"/>
          <w:color w:val="000000"/>
          <w:sz w:val="22"/>
        </w:rPr>
        <w:t>means a spouse, domestic partner, child, grandchild, parent, grandparent, or other relative or person with whom the presiding officer maintains a close familial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“Nonpublic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that is not available to the public. “Nonpublic information” may include but is not limited to information that is confidential or sealed by statute or court or administrative order or impounded or communicated in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“Pending matter”</w:t>
      </w:r>
      <w:r>
        <w:rPr>
          <w:rFonts w:ascii="Times New Roman" w:hAnsi="Times New Roman"/>
          <w:b w:val="false"/>
          <w:i w:val="false"/>
          <w:color w:val="000000"/>
          <w:sz w:val="22"/>
        </w:rPr>
        <w:t> </w:t>
      </w:r>
      <w:r>
        <w:rPr>
          <w:rFonts w:ascii="Times New Roman" w:hAnsi="Times New Roman"/>
          <w:b w:val="false"/>
          <w:i w:val="false"/>
          <w:color w:val="000000"/>
          <w:sz w:val="22"/>
        </w:rPr>
        <w:t>is a matter that has commenced. A matter continues to be pending through any appellate process, including director review and judicial review, until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natural or juridical person, including without limitation any corporation, limited liability company, partnership, trust, union, or other labor organization; any branch, division, department, or local unit of any of the foregoing; any political committee, party, or organization; or any other organization or group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“Political organization”</w:t>
      </w:r>
      <w:r>
        <w:rPr>
          <w:rFonts w:ascii="Times New Roman" w:hAnsi="Times New Roman"/>
          <w:b w:val="false"/>
          <w:i w:val="false"/>
          <w:color w:val="000000"/>
          <w:sz w:val="22"/>
        </w:rPr>
        <w:t> </w:t>
      </w:r>
      <w:r>
        <w:rPr>
          <w:rFonts w:ascii="Times New Roman" w:hAnsi="Times New Roman"/>
          <w:b w:val="false"/>
          <w:i w:val="false"/>
          <w:color w:val="000000"/>
          <w:sz w:val="22"/>
        </w:rPr>
        <w:t>means a political party or other group sponsored by or affiliated with a political party or candidate, the principal purpose of which is to further the election or appointment of candidates for political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acts as a presiding officer of a contested case proceeding under the authority of Iowa Code section </w:t>
      </w:r>
      <w:hyperlink r:id="rId27">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 degree of relationship”</w:t>
      </w:r>
      <w:r>
        <w:rPr>
          <w:rFonts w:ascii="Times New Roman" w:hAnsi="Times New Roman"/>
          <w:b w:val="false"/>
          <w:i w:val="false"/>
          <w:color w:val="000000"/>
          <w:sz w:val="22"/>
        </w:rPr>
        <w:t> </w:t>
      </w:r>
      <w:r>
        <w:rPr>
          <w:rFonts w:ascii="Times New Roman" w:hAnsi="Times New Roman"/>
          <w:b w:val="false"/>
          <w:i w:val="false"/>
          <w:color w:val="000000"/>
          <w:sz w:val="22"/>
        </w:rPr>
        <w:t>includes the following persons: great-grandparent, grandparent, parent, uncle, aunt, brother, sister, child, grandchild, great-grandchild, nephew, and niece.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Code apply to all persons who act as presiding officers under the authority of Iowa Code section </w:t>
      </w:r>
      <w:hyperlink r:id="rId28">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except as specified in paragraph </w:t>
      </w:r>
      <w:hyperlink r:id="rId29">
        <w:r>
          <w:rPr>
            <w:rStyle w:val="Hyperlink"/>
            <w:rFonts w:ascii="Times New Roman" w:hAnsi="Times New Roman"/>
            <w:b w:val="false"/>
            <w:i w:val="false"/>
            <w:color w:val="000000"/>
            <w:sz w:val="22"/>
          </w:rPr>
          <w:t>15.5(3)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agency heads or members of multimembered agency heads. Canons and rules that apply to all presiding officers use the terminology “presiding officer” in their text. This Code only applies to an agency head or a member of a multimembered agency head who actually acts as a presiding officer and does not apply merely because the agency head or member of a multimembered agency head is authorized to serve as the presiding officer when another person serves as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rules </w:t>
      </w:r>
      <w:hyperlink r:id="rId30">
        <w:r>
          <w:rPr>
            <w:rStyle w:val="Hyperlink"/>
            <w:rFonts w:ascii="Times New Roman" w:hAnsi="Times New Roman"/>
            <w:b w:val="false"/>
            <w:i w:val="false"/>
            <w:color w:val="000000"/>
            <w:sz w:val="22"/>
          </w:rPr>
          <w:t>481—15.3</w:t>
        </w:r>
      </w:hyperlink>
      <w:r>
        <w:rPr>
          <w:rFonts w:ascii="Times New Roman" w:hAnsi="Times New Roman"/>
          <w:b w:val="false"/>
          <w:i w:val="false"/>
          <w:color w:val="000000"/>
          <w:sz w:val="22"/>
        </w:rPr>
        <w:t xml:space="preserve">(10A) and </w:t>
      </w:r>
      <w:hyperlink r:id="rId31">
        <w:r>
          <w:rPr>
            <w:rStyle w:val="Hyperlink"/>
            <w:rFonts w:ascii="Times New Roman" w:hAnsi="Times New Roman"/>
            <w:b w:val="false"/>
            <w:i w:val="false"/>
            <w:color w:val="000000"/>
            <w:sz w:val="22"/>
          </w:rPr>
          <w:t>481—15.4</w:t>
        </w:r>
      </w:hyperlink>
      <w:r>
        <w:rPr>
          <w:rFonts w:ascii="Times New Roman" w:hAnsi="Times New Roman"/>
          <w:b w:val="false"/>
          <w:i w:val="false"/>
          <w:color w:val="000000"/>
          <w:sz w:val="22"/>
        </w:rPr>
        <w:t>(10A) of this Code do not apply to agency heads or members of multimembered agency heads. These provisions apply only to administrative law judges and thus the terminology “administrative law judge” is used in their 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Code does not apply to persons who participate only in the making of a final decision in a contested case without serving as a presiding officer pursuant to Iowa Code section </w:t>
      </w:r>
      <w:hyperlink r:id="rId32">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in that contested case unless a statute or administrative rule requires such a person to abide by this Code or a particular provision of this Code. This Code may nevertheless provide useful ethical guidance for a person participating in the making of a final decision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3524C</w:t>
      </w:r>
      <w:r>
        <w:rPr>
          <w:rFonts w:ascii="Times New Roman" w:hAnsi="Times New Roman"/>
          <w:b w:val="false"/>
          <w:i w:val="false"/>
          <w:color w:val="000000"/>
          <w:sz w:val="21"/>
        </w:rPr>
        <w:t xml:space="preserve"> (Notice ARC 3408C,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0463D</w:t>
      </w:r>
      <w:r>
        <w:rPr>
          <w:rFonts w:ascii="Times New Roman" w:hAnsi="Times New Roman"/>
          <w:b w:val="false"/>
          <w:i w:val="false"/>
          <w:color w:val="000000"/>
          <w:sz w:val="21"/>
        </w:rPr>
        <w:t xml:space="preserve"> (Notice ARC 9897C, IAB 1/7/26)</w:t>
      </w:r>
      <w:r>
        <w:rPr>
          <w:rFonts w:ascii="Times New Roman" w:hAnsi="Times New Roman"/>
          <w:b w:val="false"/>
          <w:i w:val="false"/>
          <w:color w:val="000000"/>
          <w:sz w:val="21"/>
        </w:rPr>
        <w:t>, IAB 8/5/26, effective 10/1/26]</w:t>
      </w:r>
    </w:p>
    <w:sectPr>
      <w:footerReference r:id="rId3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5.2.pdf" Type="http://schemas.openxmlformats.org/officeDocument/2006/relationships/hyperlink" Id="rId5"/>
    <Relationship TargetMode="External" Target="https://www.legis.iowa.gov/docs/iac/rule/481.15.2.pdf" Type="http://schemas.openxmlformats.org/officeDocument/2006/relationships/hyperlink" Id="rId6"/>
    <Relationship TargetMode="External" Target="https://www.legis.iowa.gov/docs/ico/chapter/17A.17.pdf" Type="http://schemas.openxmlformats.org/officeDocument/2006/relationships/hyperlink" Id="rId7"/>
    <Relationship TargetMode="External" Target="https://www.legis.iowa.gov/docs/ico/chapter/17A.14.pdf" Type="http://schemas.openxmlformats.org/officeDocument/2006/relationships/hyperlink" Id="rId8"/>
    <Relationship TargetMode="External" Target="https://www.legis.iowa.gov/docs/iac/rule/481.15.2.pdf" Type="http://schemas.openxmlformats.org/officeDocument/2006/relationships/hyperlink" Id="rId9"/>
    <Relationship TargetMode="External" Target="https://www.legis.iowa.gov/docs/iac/rule/481.15.2.pdf" Type="http://schemas.openxmlformats.org/officeDocument/2006/relationships/hyperlink" Id="rId10"/>
    <Relationship TargetMode="External" Target="https://www.legis.iowa.gov/docs/iac/rule/481.15.2.pdf" Type="http://schemas.openxmlformats.org/officeDocument/2006/relationships/hyperlink" Id="rId11"/>
    <Relationship TargetMode="External" Target="https://www.legis.iowa.gov/docs/iac/rule/481.15.2.pdf" Type="http://schemas.openxmlformats.org/officeDocument/2006/relationships/hyperlink" Id="rId12"/>
    <Relationship TargetMode="External" Target="https://www.legis.iowa.gov/docs/iac/rule/481.15.3.pdf" Type="http://schemas.openxmlformats.org/officeDocument/2006/relationships/hyperlink" Id="rId13"/>
    <Relationship TargetMode="External" Target="https://www.legis.iowa.gov/docs/iac/rule/481.15.3.pdf" Type="http://schemas.openxmlformats.org/officeDocument/2006/relationships/hyperlink" Id="rId14"/>
    <Relationship TargetMode="External" Target="https://www.legis.iowa.gov/docs/iac/rule/481.15.3.pdf" Type="http://schemas.openxmlformats.org/officeDocument/2006/relationships/hyperlink" Id="rId15"/>
    <Relationship TargetMode="External" Target="https://www.legis.iowa.gov/docs/iac/rule/481.15.3.pdf" Type="http://schemas.openxmlformats.org/officeDocument/2006/relationships/hyperlink" Id="rId16"/>
    <Relationship TargetMode="External" Target="https://www.legis.iowa.gov/docs/ico/chapter/68B.pdf" Type="http://schemas.openxmlformats.org/officeDocument/2006/relationships/hyperlink" Id="rId17"/>
    <Relationship TargetMode="External" Target="https://www.legis.iowa.gov/docs/iac/rule/481.15.3.pdf" Type="http://schemas.openxmlformats.org/officeDocument/2006/relationships/hyperlink" Id="rId18"/>
    <Relationship TargetMode="External" Target="https://www.legis.iowa.gov/docs/iac/rule/481.15.3.pdf" Type="http://schemas.openxmlformats.org/officeDocument/2006/relationships/hyperlink" Id="rId19"/>
    <Relationship TargetMode="External" Target="https://www.legis.iowa.gov/docs/ico/chapter/68B.pdf" Type="http://schemas.openxmlformats.org/officeDocument/2006/relationships/hyperlink" Id="rId20"/>
    <Relationship TargetMode="External" Target="https://www.legis.iowa.gov/docs/iac/rule/481.15.4.pdf" Type="http://schemas.openxmlformats.org/officeDocument/2006/relationships/hyperlink" Id="rId21"/>
    <Relationship TargetMode="External" Target="https://www.legis.iowa.gov/docs/iac/rule/481.15.4.pdf" Type="http://schemas.openxmlformats.org/officeDocument/2006/relationships/hyperlink" Id="rId22"/>
    <Relationship TargetMode="External" Target="https://www.legis.iowa.gov/docs/iac/rule/481.15.4.pdf" Type="http://schemas.openxmlformats.org/officeDocument/2006/relationships/hyperlink" Id="rId23"/>
    <Relationship TargetMode="External" Target="https://www.legis.iowa.gov/docs/iac/rule/481.15.5.pdf" Type="http://schemas.openxmlformats.org/officeDocument/2006/relationships/hyperlink" Id="rId24"/>
    <Relationship TargetMode="External" Target="https://www.legis.iowa.gov/docs/ico/chapter/10A.801.pdf" Type="http://schemas.openxmlformats.org/officeDocument/2006/relationships/hyperlink" Id="rId25"/>
    <Relationship TargetMode="External" Target="https://www.legis.iowa.gov/docs/ico/chapter/17A.11.pdf" Type="http://schemas.openxmlformats.org/officeDocument/2006/relationships/hyperlink" Id="rId26"/>
    <Relationship TargetMode="External" Target="https://www.legis.iowa.gov/docs/ico/chapter/17A.11.pdf" Type="http://schemas.openxmlformats.org/officeDocument/2006/relationships/hyperlink" Id="rId27"/>
    <Relationship TargetMode="External" Target="https://www.legis.iowa.gov/docs/ico/chapter/17A.11.pdf" Type="http://schemas.openxmlformats.org/officeDocument/2006/relationships/hyperlink" Id="rId28"/>
    <Relationship TargetMode="External" Target="https://www.legis.iowa.gov/docs/iac/rule/481.15.5.pdf" Type="http://schemas.openxmlformats.org/officeDocument/2006/relationships/hyperlink" Id="rId29"/>
    <Relationship TargetMode="External" Target="https://www.legis.iowa.gov/docs/iac/rule/481.15.3.pdf" Type="http://schemas.openxmlformats.org/officeDocument/2006/relationships/hyperlink" Id="rId30"/>
    <Relationship TargetMode="External" Target="https://www.legis.iowa.gov/docs/iac/rule/481.15.4.pdf" Type="http://schemas.openxmlformats.org/officeDocument/2006/relationships/hyperlink" Id="rId31"/>
    <Relationship TargetMode="External" Target="https://www.legis.iowa.gov/docs/ico/chapter/17A.11.pdf" Type="http://schemas.openxmlformats.org/officeDocument/2006/relationships/hyperlink" Id="rId32"/>
    <Relationship TargetMode="External" Target="https://www.legis.iowa.gov/docs/ico/chapter/10A.801.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