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1066</w:t>
      </w:r>
    </w:p>
    <w:p>
      <w:pPr>
        <w:spacing w:before="0" w:after="0"/>
        <w:ind w:left="120"/>
        <w:jc w:val="center"/>
      </w:pPr>
      <w:r>
        <w:rPr>
          <w:rFonts w:ascii="Times New Roman" w:hAnsi="Times New Roman"/>
          <w:b w:val="false"/>
          <w:i w:val="false"/>
          <w:color w:val="000000"/>
          <w:sz w:val="21"/>
        </w:rPr>
        <w:t>DISCIPLINARY ACTION AGAINST LICENSEES</w:t>
      </w:r>
    </w:p>
    <w:p>
      <w:pPr>
        <w:spacing w:before="0" w:after="0"/>
        <w:ind w:left="120"/>
        <w:jc w:val="center"/>
      </w:pPr>
      <w:r>
        <w:rPr>
          <w:rFonts w:ascii="Times New Roman" w:hAnsi="Times New Roman"/>
          <w:b w:val="false"/>
          <w:i w:val="false"/>
          <w:color w:val="000000"/>
          <w:sz w:val="14"/>
        </w:rPr>
        <w:t>[Previously Ch 4; Ch 5, IAB 3/2/83]</w:t>
      </w:r>
    </w:p>
    <w:p>
      <w:pPr>
        <w:spacing w:before="0" w:after="0"/>
        <w:ind w:left="120"/>
        <w:jc w:val="center"/>
      </w:pP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10/3/01, see 193B—Chapter 5]</w:t>
      </w:r>
    </w:p>
    <w:p>
      <w:pPr>
        <w:spacing w:before="0" w:after="0"/>
        <w:ind w:left="120"/>
        <w:jc w:val="center"/>
      </w:pPr>
      <w:r>
        <w:rPr>
          <w:rFonts w:ascii="Times New Roman" w:hAnsi="Times New Roman"/>
          <w:b w:val="false"/>
          <w:i w:val="false"/>
          <w:color w:val="000000"/>
          <w:sz w:val="14"/>
        </w:rPr>
        <w:t>[Prior to 6/24/26, see Architectural Examining Board[193B]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481—1066.1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architectural examining board has authority in Iowa Code chapters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these chapters and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or omissions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Peer investigative committee. </w:t>
      </w:r>
      <w:r>
        <w:rPr>
          <w:rFonts w:ascii="Times New Roman" w:hAnsi="Times New Roman"/>
          <w:b w:val="false"/>
          <w:i w:val="false"/>
          <w:color w:val="000000"/>
          <w:sz w:val="22"/>
        </w:rPr>
        <w:t>A peer investigative committee may be appointed by the chairperson to investigate a complaint. The committee members will consist of one or more architects who have been licensed to practice in Iowa for at least five years, serving at the discretion of the chairperson. The committee will review and determine the facts of the complaint and make a report to the board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report.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to determine what further action is necessary. The board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the matter be further investigated.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Allow the licensee who is the subject of the complaint an opportunity to appear before a committee of the board for an informal discussion regarding the circumstances of the alleged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Determine there is no probable cause to believe a disciplinary violation has occurred and close the case.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Determine there is probable cause to believe that a disciplinary violation has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w:t>
      </w:r>
    </w:p>
    <w:p>
      <w:pPr>
        <w:spacing w:before="0" w:after="0"/>
        <w:ind w:left="120"/>
        <w:jc w:val="both"/>
      </w:pPr>
      <w:r>
        <w:rPr>
          <w:rFonts w:ascii="Times New Roman" w:hAnsi="Times New Roman"/>
          <w:b w:val="false"/>
          <w:i w:val="false"/>
          <w:color w:val="000000"/>
          <w:sz w:val="22"/>
        </w:rPr>
        <w:t>Unless disqualification is waived by the licensee, board members who personally investigated a disciplinary complaint are disqualified from making decisions at a later formal hearing. Because board members generally rely upon staff, investigators, auditors,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licensees who desire to attend an informal discussion will therefore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481—1066.6</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1066.6(1)</w:t>
      </w:r>
      <w:r>
        <w:rPr>
          <w:rFonts w:ascii="Times New Roman" w:hAnsi="Times New Roman"/>
          <w:b w:val="false"/>
          <w:i w:val="false"/>
          <w:color w:val="000000"/>
          <w:sz w:val="22"/>
        </w:rPr>
        <w:t>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1066.6(2)</w:t>
      </w:r>
      <w:r>
        <w:rPr>
          <w:rFonts w:ascii="Times New Roman" w:hAnsi="Times New Roman"/>
          <w:b w:val="false"/>
          <w:i w:val="false"/>
          <w:color w:val="000000"/>
          <w:sz w:val="22"/>
        </w:rPr>
        <w:t> </w:t>
      </w:r>
      <w:r>
        <w:rPr>
          <w:rFonts w:ascii="Times New Roman" w:hAnsi="Times New Roman"/>
          <w:b w:val="false"/>
          <w:i w:val="false"/>
          <w:color w:val="000000"/>
          <w:sz w:val="22"/>
        </w:rPr>
        <w:t xml:space="preserve">Revoke the architect’s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1066.6(3)</w:t>
      </w:r>
      <w:r>
        <w:rPr>
          <w:rFonts w:ascii="Times New Roman" w:hAnsi="Times New Roman"/>
          <w:b w:val="false"/>
          <w:i w:val="false"/>
          <w:color w:val="000000"/>
          <w:sz w:val="22"/>
        </w:rPr>
        <w:t> </w:t>
      </w:r>
      <w:r>
        <w:rPr>
          <w:rFonts w:ascii="Times New Roman" w:hAnsi="Times New Roman"/>
          <w:b w:val="false"/>
          <w:i w:val="false"/>
          <w:color w:val="000000"/>
          <w:sz w:val="22"/>
        </w:rPr>
        <w:t>Suspend the licensee’s license as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1066.6(4)</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not to exceed $1,000. Civil penalties may be imposed for any of the disciplinary violations specified in Iowa Code sections </w:t>
      </w:r>
      <w:hyperlink r:id="rId8">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these rules. Factors the board may consider when determining whether to assess civil penalties and the amount to assess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practiced architecture with a lapsed, inactive, suspended or revoked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1066.6(6)</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examination given to architectural licensee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1066.6(7)</w:t>
      </w:r>
      <w:r>
        <w:rPr>
          <w:rFonts w:ascii="Times New Roman" w:hAnsi="Times New Roman"/>
          <w:b w:val="false"/>
          <w:i w:val="false"/>
          <w:color w:val="000000"/>
          <w:sz w:val="22"/>
        </w:rPr>
        <w:t>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1066.6(8)</w:t>
      </w:r>
      <w:r>
        <w:rPr>
          <w:rFonts w:ascii="Times New Roman" w:hAnsi="Times New Roman"/>
          <w:b w:val="false"/>
          <w:i w:val="false"/>
          <w:color w:val="000000"/>
          <w:sz w:val="22"/>
        </w:rPr>
        <w:t> </w:t>
      </w:r>
      <w:r>
        <w:rPr>
          <w:rFonts w:ascii="Times New Roman" w:hAnsi="Times New Roman"/>
          <w:b w:val="false"/>
          <w:i w:val="false"/>
          <w:color w:val="000000"/>
          <w:sz w:val="22"/>
        </w:rPr>
        <w:t>Issue a citation and a warning.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1066.6(9)</w:t>
      </w:r>
      <w:r>
        <w:rPr>
          <w:rFonts w:ascii="Times New Roman" w:hAnsi="Times New Roman"/>
          <w:b w:val="false"/>
          <w:i w:val="false"/>
          <w:color w:val="000000"/>
          <w:sz w:val="22"/>
        </w:rPr>
        <w:t> </w:t>
      </w:r>
      <w:r>
        <w:rPr>
          <w:rFonts w:ascii="Times New Roman" w:hAnsi="Times New Roman"/>
          <w:b w:val="false"/>
          <w:i w:val="false"/>
          <w:color w:val="000000"/>
          <w:sz w:val="22"/>
        </w:rPr>
        <w:t>Issue a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481—1066.7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Voluntary surrender of licensure is considered as disciplinary action. 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9/29/78, Notice 8/23/78—published 10/18/78, effective 11/22/78]</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12/6/91, Notice 10/3/91—published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3336C</w:t>
      </w:r>
      <w:r>
        <w:rPr>
          <w:rFonts w:ascii="Times New Roman" w:hAnsi="Times New Roman"/>
          <w:b w:val="false"/>
          <w:i w:val="false"/>
          <w:color w:val="000000"/>
          <w:sz w:val="21"/>
        </w:rPr>
        <w:t xml:space="preserve"> (Notice ARC 3173C,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7761C</w:t>
      </w:r>
      <w:r>
        <w:rPr>
          <w:rFonts w:ascii="Times New Roman" w:hAnsi="Times New Roman"/>
          <w:b w:val="false"/>
          <w:i w:val="false"/>
          <w:color w:val="000000"/>
          <w:sz w:val="21"/>
        </w:rPr>
        <w:t xml:space="preserve"> (Notice ARC 7440C,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4A.13.pdf" Type="http://schemas.openxmlformats.org/officeDocument/2006/relationships/hyperlink" Id="rId8"/>
    <Relationship TargetMode="External" Target="https://www.legis.iowa.gov/docs/ico/chapter/544A.15.pdf" Type="http://schemas.openxmlformats.org/officeDocument/2006/relationships/hyperlink" Id="rId9"/>
    <Relationship TargetMode="External" Target="https://www.legis.iowa.gov/docs/ico/chapter/544A.13.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