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1062</w:t>
      </w:r>
    </w:p>
    <w:p>
      <w:pPr>
        <w:spacing w:before="0" w:after="0"/>
        <w:ind w:left="120"/>
        <w:jc w:val="center"/>
      </w:pPr>
      <w:r>
        <w:rPr>
          <w:rFonts w:ascii="Times New Roman" w:hAnsi="Times New Roman"/>
          <w:b w:val="false"/>
          <w:i w:val="false"/>
          <w:color w:val="000000"/>
          <w:sz w:val="21"/>
        </w:rPr>
        <w:t>LICENSURE</w:t>
      </w:r>
    </w:p>
    <w:p>
      <w:pPr>
        <w:spacing w:before="0" w:after="0"/>
        <w:ind w:left="120"/>
        <w:jc w:val="center"/>
      </w:pPr>
      <w:r>
        <w:rPr>
          <w:rFonts w:ascii="Times New Roman" w:hAnsi="Times New Roman"/>
          <w:b w:val="false"/>
          <w:i w:val="false"/>
          <w:color w:val="000000"/>
          <w:sz w:val="14"/>
        </w:rPr>
        <w:t>[Prior to 7/13/88, see Architectural Examiners, Board of[80]]</w:t>
      </w:r>
    </w:p>
    <w:p>
      <w:pPr>
        <w:spacing w:before="0" w:after="0"/>
        <w:ind w:left="120"/>
        <w:jc w:val="center"/>
      </w:pPr>
      <w:r>
        <w:rPr>
          <w:rFonts w:ascii="Times New Roman" w:hAnsi="Times New Roman"/>
          <w:b w:val="false"/>
          <w:i w:val="false"/>
          <w:color w:val="000000"/>
          <w:sz w:val="14"/>
        </w:rPr>
        <w:t>[Prior to 6/24/26, see Architectural Examining Board[193B] Ch 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481—1062.1</w:t>
      </w:r>
      <w:r>
        <w:rPr>
          <w:rFonts w:ascii="Times New Roman" w:hAnsi="Times New Roman"/>
          <w:b/>
          <w:i w:val="false"/>
          <w:color w:val="000000"/>
          <w:sz w:val="22"/>
        </w:rPr>
        <w:t xml:space="preserve">(544A,17A)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apply as used in Iowa Code chapter </w:t>
      </w:r>
      <w:hyperlink r:id="rId5">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and this chapter of the architectural examining board rules,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“Applicant”</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has submitted an application for licensure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 education program”</w:t>
      </w:r>
      <w:r>
        <w:rPr>
          <w:rFonts w:ascii="Times New Roman" w:hAnsi="Times New Roman"/>
          <w:b w:val="false"/>
          <w:i w:val="false"/>
          <w:color w:val="000000"/>
          <w:sz w:val="22"/>
        </w:rPr>
        <w:t> </w:t>
      </w:r>
      <w:r>
        <w:rPr>
          <w:rFonts w:ascii="Times New Roman" w:hAnsi="Times New Roman"/>
          <w:b w:val="false"/>
          <w:i w:val="false"/>
          <w:color w:val="000000"/>
          <w:sz w:val="22"/>
        </w:rPr>
        <w:t>means a degree accredited by an organization that provides an accreditation system for architecture programs or education deemed equivalent by the board to the National Council of Architectural Registration Boards (NCARB) Education Standard that has been evaluated and found to be an equivalent standard based on the NCARB Alternatives to Education Requirement as identified in the NCARB Certification Guidelines demonstration of successful completion of an Education Evaluation Services for Architects.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“Architectural intern”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“intern architect”</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has completed or is completing an approved education program, has completed or is currently enrolled in the NCARB Architectural Experience Program (AXP), and intends to actively pursue licensure by completing the Architect Registration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“ARE”</w:t>
      </w:r>
      <w:r>
        <w:rPr>
          <w:rFonts w:ascii="Times New Roman" w:hAnsi="Times New Roman"/>
          <w:b w:val="false"/>
          <w:i w:val="false"/>
          <w:color w:val="000000"/>
          <w:sz w:val="22"/>
        </w:rPr>
        <w:t> </w:t>
      </w:r>
      <w:r>
        <w:rPr>
          <w:rFonts w:ascii="Times New Roman" w:hAnsi="Times New Roman"/>
          <w:b w:val="false"/>
          <w:i w:val="false"/>
          <w:color w:val="000000"/>
          <w:sz w:val="22"/>
        </w:rPr>
        <w:t>means the current Architect Registration Examination, as prepared and graded by the NCARB.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“AXP applicant”</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has completed the AXP training requirements set forth in the NCARB Architectural Experience Program Guidelines and has submitted an application for licensure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“Examination”</w:t>
      </w:r>
      <w:r>
        <w:rPr>
          <w:rFonts w:ascii="Times New Roman" w:hAnsi="Times New Roman"/>
          <w:b w:val="false"/>
          <w:i w:val="false"/>
          <w:color w:val="000000"/>
          <w:sz w:val="22"/>
        </w:rPr>
        <w:t> </w:t>
      </w:r>
      <w:r>
        <w:rPr>
          <w:rFonts w:ascii="Times New Roman" w:hAnsi="Times New Roman"/>
          <w:b w:val="false"/>
          <w:i w:val="false"/>
          <w:color w:val="000000"/>
          <w:sz w:val="22"/>
        </w:rPr>
        <w:t>means the current Architect Registration Examination (ARE) accepted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“Inactive”</w:t>
      </w:r>
      <w:r>
        <w:rPr>
          <w:rFonts w:ascii="Times New Roman" w:hAnsi="Times New Roman"/>
          <w:b w:val="false"/>
          <w:i w:val="false"/>
          <w:color w:val="000000"/>
          <w:sz w:val="22"/>
        </w:rPr>
        <w:t> </w:t>
      </w:r>
      <w:r>
        <w:rPr>
          <w:rFonts w:ascii="Times New Roman" w:hAnsi="Times New Roman"/>
          <w:b w:val="false"/>
          <w:i w:val="false"/>
          <w:color w:val="000000"/>
          <w:sz w:val="22"/>
        </w:rPr>
        <w:t>means that an architect is not engaged in Iowa in any practice for which a certificate of licensure is required, including architects who have retired from active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“Issuance”</w:t>
      </w:r>
      <w:r>
        <w:rPr>
          <w:rFonts w:ascii="Times New Roman" w:hAnsi="Times New Roman"/>
          <w:b w:val="false"/>
          <w:i w:val="false"/>
          <w:color w:val="000000"/>
          <w:sz w:val="22"/>
        </w:rPr>
        <w:t> </w:t>
      </w:r>
      <w:r>
        <w:rPr>
          <w:rFonts w:ascii="Times New Roman" w:hAnsi="Times New Roman"/>
          <w:b w:val="false"/>
          <w:i w:val="false"/>
          <w:color w:val="000000"/>
          <w:sz w:val="22"/>
        </w:rPr>
        <w:t>means the date of mailing of a decision or order or the date of delivery if service is by other means unless another date is specified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“NCARB”</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National Council of Architectural Registration Boards. The NCARB Architect Registration Examination Guidelines, NCARB Architectural Experience Program Guidelines, and NCARB Certification Guidelines are available through the National Council of Architectural Registration Boards, 1401 H Street NW, Suite 500, Washington, D.C. 20005; NCARB’s website, </w:t>
      </w:r>
      <w:hyperlink r:id="rId6">
        <w:r>
          <w:rPr>
            <w:rStyle w:val="Hyperlink"/>
            <w:rFonts w:ascii="Times New Roman" w:hAnsi="Times New Roman"/>
            <w:b w:val="false"/>
            <w:i w:val="false"/>
            <w:color w:val="000000"/>
            <w:sz w:val="22"/>
            <w:u w:val="single"/>
          </w:rPr>
          <w:t>www.ncarb.org</w:t>
        </w:r>
      </w:hyperlink>
      <w:r>
        <w:rPr>
          <w:rFonts w:ascii="Times New Roman" w:hAnsi="Times New Roman"/>
          <w:b w:val="false"/>
          <w:i w:val="false"/>
          <w:color w:val="000000"/>
          <w:sz w:val="22"/>
        </w:rPr>
        <w:t>; or the architectural examining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“NCARB Architect Registration Examination (ARE) Guidelines”</w:t>
      </w:r>
      <w:r>
        <w:rPr>
          <w:rFonts w:ascii="Times New Roman" w:hAnsi="Times New Roman"/>
          <w:b w:val="false"/>
          <w:i w:val="false"/>
          <w:color w:val="000000"/>
          <w:sz w:val="22"/>
        </w:rPr>
        <w:t> </w:t>
      </w:r>
      <w:r>
        <w:rPr>
          <w:rFonts w:ascii="Times New Roman" w:hAnsi="Times New Roman"/>
          <w:b w:val="false"/>
          <w:i w:val="false"/>
          <w:color w:val="000000"/>
          <w:sz w:val="22"/>
        </w:rPr>
        <w:t>means the edition of a document by the same title published by the National Council of Architectural Registration Boards in April 2026. The document outlines the requirements for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“NCARB Architectural Experience Program Guidelines”</w:t>
      </w:r>
      <w:r>
        <w:rPr>
          <w:rFonts w:ascii="Times New Roman" w:hAnsi="Times New Roman"/>
          <w:b w:val="false"/>
          <w:i w:val="false"/>
          <w:color w:val="000000"/>
          <w:sz w:val="22"/>
        </w:rPr>
        <w:t> </w:t>
      </w:r>
      <w:r>
        <w:rPr>
          <w:rFonts w:ascii="Times New Roman" w:hAnsi="Times New Roman"/>
          <w:b w:val="false"/>
          <w:i w:val="false"/>
          <w:color w:val="000000"/>
          <w:sz w:val="22"/>
        </w:rPr>
        <w:t>means the edition of a document by the same title published by the National Council of Architectural Registration Boards in November 2025. The document outlines the requirements for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“NCARB Certification Guidelines”</w:t>
      </w:r>
      <w:r>
        <w:rPr>
          <w:rFonts w:ascii="Times New Roman" w:hAnsi="Times New Roman"/>
          <w:b w:val="false"/>
          <w:i w:val="false"/>
          <w:color w:val="000000"/>
          <w:sz w:val="22"/>
        </w:rPr>
        <w:t> </w:t>
      </w:r>
      <w:r>
        <w:rPr>
          <w:rFonts w:ascii="Times New Roman" w:hAnsi="Times New Roman"/>
          <w:b w:val="false"/>
          <w:i w:val="false"/>
          <w:color w:val="000000"/>
          <w:sz w:val="22"/>
        </w:rPr>
        <w:t>means the edition of a document by the same title published by the National Council of Architectural Registration Boards in January 2026. The document outlines the requirements for licensure as an architect.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“NCARB Education Guidelines”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“NCARB Education Standards”</w:t>
      </w:r>
      <w:r>
        <w:rPr>
          <w:rFonts w:ascii="Times New Roman" w:hAnsi="Times New Roman"/>
          <w:b w:val="false"/>
          <w:i w:val="false"/>
          <w:color w:val="000000"/>
          <w:sz w:val="22"/>
        </w:rPr>
        <w:t> </w:t>
      </w:r>
      <w:r>
        <w:rPr>
          <w:rFonts w:ascii="Times New Roman" w:hAnsi="Times New Roman"/>
          <w:b w:val="false"/>
          <w:i w:val="false"/>
          <w:color w:val="000000"/>
          <w:sz w:val="22"/>
        </w:rPr>
        <w:t>means the edition of a document by the same title published by the National Council of Architectural Registration Boards in January 2026. The document outlines the requirements for licensure as an architect.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0232D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481—1062.2</w:t>
      </w:r>
      <w:r>
        <w:rPr>
          <w:rFonts w:ascii="Times New Roman" w:hAnsi="Times New Roman"/>
          <w:b/>
          <w:i w:val="false"/>
          <w:color w:val="000000"/>
          <w:sz w:val="22"/>
        </w:rPr>
        <w:t xml:space="preserve">(544A,17A) </w:t>
      </w:r>
      <w:r>
        <w:rPr>
          <w:rFonts w:ascii="Times New Roman" w:hAnsi="Times New Roman"/>
          <w:b/>
          <w:i w:val="false"/>
          <w:color w:val="000000"/>
          <w:sz w:val="22"/>
        </w:rPr>
        <w:t xml:space="preserve">Licensure. </w:t>
      </w:r>
      <w:r>
        <w:rPr>
          <w:rFonts w:ascii="Times New Roman" w:hAnsi="Times New Roman"/>
          <w:b w:val="false"/>
          <w:i w:val="false"/>
          <w:color w:val="000000"/>
          <w:sz w:val="22"/>
        </w:rPr>
        <w:t>All applicants for licensure will complete an online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1062.2(1)</w:t>
      </w:r>
      <w:r>
        <w:rPr>
          <w:rFonts w:ascii="Times New Roman" w:hAnsi="Times New Roman"/>
          <w:b w:val="false"/>
          <w:i w:val="false"/>
          <w:color w:val="000000"/>
          <w:sz w:val="22"/>
        </w:rPr>
        <w:t> </w:t>
      </w:r>
      <w:r>
        <w:rPr>
          <w:rFonts w:ascii="Times New Roman" w:hAnsi="Times New Roman"/>
          <w:b w:val="false"/>
          <w:i/>
          <w:color w:val="000000"/>
          <w:sz w:val="22"/>
        </w:rPr>
        <w:t xml:space="preserve"> Initial licensure. </w:t>
      </w:r>
      <w:r>
        <w:rPr>
          <w:rFonts w:ascii="Times New Roman" w:hAnsi="Times New Roman"/>
          <w:b w:val="false"/>
          <w:i w:val="false"/>
          <w:color w:val="000000"/>
          <w:sz w:val="22"/>
        </w:rPr>
        <w:t xml:space="preserve">To be eligible for initial licensure by examination, all applicants will have satisfied the architecture education requirements as detailed in paragraph </w:t>
      </w:r>
      <w:hyperlink r:id="rId7">
        <w:r>
          <w:rPr>
            <w:rStyle w:val="Hyperlink"/>
            <w:rFonts w:ascii="Times New Roman" w:hAnsi="Times New Roman"/>
            <w:b w:val="false"/>
            <w:i w:val="false"/>
            <w:color w:val="000000"/>
            <w:sz w:val="22"/>
          </w:rPr>
          <w:t>2.2(1)</w:t>
        </w:r>
      </w:hyperlink>
      <w:r>
        <w:rPr>
          <w:rFonts w:ascii="Times New Roman" w:hAnsi="Times New Roman"/>
          <w:b w:val="false"/>
          <w:i/>
          <w:color w:val="000000"/>
          <w:sz w:val="22"/>
        </w:rPr>
        <w:t>“a,”</w:t>
      </w:r>
      <w:r>
        <w:rPr>
          <w:rFonts w:ascii="Times New Roman" w:hAnsi="Times New Roman"/>
          <w:b w:val="false"/>
          <w:i w:val="false"/>
          <w:color w:val="000000"/>
          <w:sz w:val="22"/>
        </w:rPr>
        <w:t xml:space="preserve"> have passed all divisions of the ARE as provided by the NCARB, have completed the NCARB AXP as detailed in paragraph </w:t>
      </w:r>
      <w:hyperlink r:id="rId8">
        <w:r>
          <w:rPr>
            <w:rStyle w:val="Hyperlink"/>
            <w:rFonts w:ascii="Times New Roman" w:hAnsi="Times New Roman"/>
            <w:b w:val="false"/>
            <w:i w:val="false"/>
            <w:color w:val="000000"/>
            <w:sz w:val="22"/>
          </w:rPr>
          <w:t>2.2(1)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have established an NCARB council record. A completed NCARB council record shall be transmitted to and filed in the board office. Upon receipt of the council record from NCARB, the board will provide the applicant with an application for licensure form, which must be completed and returned to the board within three months of receipt of the council record. The board shall issue a license number to the applicant upon receipt of the completed application form and appropriate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education and experience requirements are met when an applicant completes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professional degree in architecture from a program that satisfies the NCARB Education Standard or education deemed equivalent by the board and completion of the NCARB AXP one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degree from a four-year bachelor’s degree program that includes at least 60 semester credit hours in architecture-related subjects as referenced in the NCARB Certification Guidelines in the Education Alternative section and completion of the NCARB AXP two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two-year associate degree program that includes at least 30 semester credit hours in architecture-related subjects as referenced in the NCARB Certification Guidelines in the Education Alternative section and completion of the NCARB AXP three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high school degree or its equivalent and completion of the NCARB AXP four times. </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To complete each multiple of the NCARB AXP, the candidate must meet the full program requirements for each multiple as defined in the AXP Guidelines. For example, if a candidate is completing the AXP four times, the candidate must document the required number of hours in each experience area four times. Minimum and maximum hours in each experience setting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Examinations for licensure as an architect shall be conducted by the board or its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board shall make use of the ARE prepared and graded by NCARB under a plan of cooperation with the architectural examining boards of all states and territories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board may make use of a testing service selected by NCARB to administer the examination, provided the examination is held in at least one location within the boundaries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Examination admittance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applicant will have established an NCARB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NCARB shall notify the testing service of the applicant’s eligibility prior to the applicant’s scheduling of an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AXP eligibility requirements will be verified and satisfied in accordance with the NCARB Architectural Experience Program Guidelines. Documentation of AXP training units will be submitted on AXP report forms published by NCARB and will be verified by signatures of the licensed architects serving as the intern architect’s supervisors in accordance with the requirements outlined in the NCARB Architectural Experience Program Guidelines. The completed AXP report form shall demonstrate attainment of an aggregate of the minimum number of value units in each training area and shall be submitted to NCARB for 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1062.2(2)</w:t>
      </w:r>
      <w:r>
        <w:rPr>
          <w:rFonts w:ascii="Times New Roman" w:hAnsi="Times New Roman"/>
          <w:b w:val="false"/>
          <w:i w:val="false"/>
          <w:color w:val="000000"/>
          <w:sz w:val="22"/>
        </w:rPr>
        <w:t> </w:t>
      </w:r>
      <w:r>
        <w:rPr>
          <w:rFonts w:ascii="Times New Roman" w:hAnsi="Times New Roman"/>
          <w:b w:val="false"/>
          <w:i/>
          <w:color w:val="000000"/>
          <w:sz w:val="22"/>
        </w:rPr>
        <w:t xml:space="preserve">Reciprocity. </w:t>
      </w:r>
      <w:r>
        <w:rPr>
          <w:rFonts w:ascii="Times New Roman" w:hAnsi="Times New Roman"/>
          <w:b w:val="false"/>
          <w:i w:val="false"/>
          <w:color w:val="000000"/>
          <w:sz w:val="22"/>
        </w:rPr>
        <w:t xml:space="preserve">The board or the board administrator may waive examination requirements for applicants who, at the time of application, are licensed as architects in a different jurisdiction and hold an active NCARB certificate. All such applicants who hold an active NCARB certificate are deemed to possess qualifications that are substantially equivalent to those required of applicants for initial licensure in this state. An active NCARB council certificate shall be transmitted to and filed in the board office. Upon receipt of the certificate from NCARB, the board will provide the applicant with an application for licensure form, which must be completed and returned to the board within three months of receipt of the council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1062.2(3)</w:t>
      </w:r>
      <w:r>
        <w:rPr>
          <w:rFonts w:ascii="Times New Roman" w:hAnsi="Times New Roman"/>
          <w:b w:val="false"/>
          <w:i w:val="false"/>
          <w:color w:val="000000"/>
          <w:sz w:val="22"/>
        </w:rPr>
        <w:t> </w:t>
      </w:r>
      <w:r>
        <w:rPr>
          <w:rFonts w:ascii="Times New Roman" w:hAnsi="Times New Roman"/>
          <w:b w:val="false"/>
          <w:i/>
          <w:color w:val="000000"/>
          <w:sz w:val="22"/>
        </w:rPr>
        <w:t xml:space="preserve">Verification. </w:t>
      </w:r>
      <w:r>
        <w:rPr>
          <w:rFonts w:ascii="Times New Roman" w:hAnsi="Times New Roman"/>
          <w:b w:val="false"/>
          <w:i w:val="false"/>
          <w:color w:val="000000"/>
          <w:sz w:val="22"/>
        </w:rPr>
        <w:t xml:space="preserve">The board may grant registration via verification as provided for in </w:t>
      </w:r>
      <w:hyperlink r:id="rId9">
        <w:r>
          <w:rPr>
            <w:rStyle w:val="Hyperlink"/>
            <w:rFonts w:ascii="Times New Roman" w:hAnsi="Times New Roman"/>
            <w:b w:val="false"/>
            <w:i w:val="false"/>
            <w:color w:val="000000"/>
            <w:sz w:val="22"/>
          </w:rPr>
          <w:t>481—Chapter 501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1062.2(4)</w:t>
      </w:r>
      <w:r>
        <w:rPr>
          <w:rFonts w:ascii="Times New Roman" w:hAnsi="Times New Roman"/>
          <w:b w:val="false"/>
          <w:i w:val="false"/>
          <w:color w:val="000000"/>
          <w:sz w:val="22"/>
        </w:rPr>
        <w:t> </w:t>
      </w:r>
      <w:r>
        <w:rPr>
          <w:rFonts w:ascii="Times New Roman" w:hAnsi="Times New Roman"/>
          <w:b w:val="false"/>
          <w:i/>
          <w:color w:val="000000"/>
          <w:sz w:val="22"/>
        </w:rPr>
        <w:t xml:space="preserve">Military service and veteran reciprocity. </w:t>
      </w:r>
      <w:r>
        <w:rPr>
          <w:rFonts w:ascii="Times New Roman" w:hAnsi="Times New Roman"/>
          <w:b w:val="false"/>
          <w:i w:val="false"/>
          <w:color w:val="000000"/>
          <w:sz w:val="22"/>
        </w:rPr>
        <w:t xml:space="preserve">The board may grant registration for military service applicants, spouses, and veterans as provided for in </w:t>
      </w:r>
      <w:hyperlink r:id="rId10">
        <w:r>
          <w:rPr>
            <w:rStyle w:val="Hyperlink"/>
            <w:rFonts w:ascii="Times New Roman" w:hAnsi="Times New Roman"/>
            <w:b w:val="false"/>
            <w:i w:val="false"/>
            <w:color w:val="000000"/>
            <w:sz w:val="22"/>
          </w:rPr>
          <w:t>481—Chapter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1062.2(5)</w:t>
      </w:r>
      <w:r>
        <w:rPr>
          <w:rFonts w:ascii="Times New Roman" w:hAnsi="Times New Roman"/>
          <w:b w:val="false"/>
          <w:i w:val="false"/>
          <w:color w:val="000000"/>
          <w:sz w:val="22"/>
        </w:rPr>
        <w:t> </w:t>
      </w:r>
      <w:r>
        <w:rPr>
          <w:rFonts w:ascii="Times New Roman" w:hAnsi="Times New Roman"/>
          <w:b w:val="false"/>
          <w:i/>
          <w:color w:val="000000"/>
          <w:sz w:val="22"/>
        </w:rPr>
        <w:t xml:space="preserve">Applicants seeking architectural commission in Iowa. </w:t>
      </w:r>
      <w:r>
        <w:rPr>
          <w:rFonts w:ascii="Times New Roman" w:hAnsi="Times New Roman"/>
          <w:b w:val="false"/>
          <w:i w:val="false"/>
          <w:color w:val="000000"/>
          <w:sz w:val="22"/>
        </w:rPr>
        <w:t>A person seeking an architectural commission in this state may be admitted to this state for the purpose of offering to provide architectural services, and for that purpose only, without first being licensed in this state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holds an NCARB certificate;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holds a current and valid license issued by a licensing authority recognized by this state;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person notifies the board in writing on a form provided by the board that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Holds an NCARB certificate and a current and valid license issued by a licensing authority recognized by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not currently licensed in this state but will be present in this state for the purpose of offering to provide architectural services on a temporary basis,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Has no previous or pending disciplinary action by any licensing authority;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delivers a copy of the notice referred to in paragraph </w:t>
      </w:r>
      <w:hyperlink r:id="rId11">
        <w:r>
          <w:rPr>
            <w:rStyle w:val="Hyperlink"/>
            <w:rFonts w:ascii="Times New Roman" w:hAnsi="Times New Roman"/>
            <w:b w:val="false"/>
            <w:i w:val="false"/>
            <w:color w:val="000000"/>
            <w:sz w:val="22"/>
          </w:rPr>
          <w:t>2.2(5)</w:t>
        </w:r>
      </w:hyperlink>
      <w:r>
        <w:rPr>
          <w:rFonts w:ascii="Times New Roman" w:hAnsi="Times New Roman"/>
          <w:b w:val="false"/>
          <w:i/>
          <w:color w:val="000000"/>
          <w:sz w:val="22"/>
        </w:rPr>
        <w:t>“c”</w:t>
      </w:r>
      <w:r>
        <w:rPr>
          <w:rFonts w:ascii="Times New Roman" w:hAnsi="Times New Roman"/>
          <w:b w:val="false"/>
          <w:i w:val="false"/>
          <w:color w:val="000000"/>
          <w:sz w:val="22"/>
        </w:rPr>
        <w:t xml:space="preserve"> to every potential client to whom the person offers to provide architectural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person provides the board with a sworn statement of intent to apply immediately to the board for licensure if selected as the architect for a project in this state.</w:t>
      </w:r>
    </w:p>
    <w:p>
      <w:pPr>
        <w:spacing w:before="0" w:after="0"/>
        <w:ind w:left="120"/>
        <w:jc w:val="both"/>
      </w:pPr>
      <w:r>
        <w:rPr>
          <w:rFonts w:ascii="Times New Roman" w:hAnsi="Times New Roman"/>
          <w:b w:val="false"/>
          <w:i w:val="false"/>
          <w:color w:val="000000"/>
          <w:sz w:val="22"/>
        </w:rPr>
        <w:t>The person is prohibited from actually providing architectural services until the person has been issued a valid license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1062.2(6)</w:t>
      </w:r>
      <w:r>
        <w:rPr>
          <w:rFonts w:ascii="Times New Roman" w:hAnsi="Times New Roman"/>
          <w:b w:val="false"/>
          <w:i w:val="false"/>
          <w:color w:val="000000"/>
          <w:sz w:val="22"/>
        </w:rPr>
        <w:t> </w:t>
      </w:r>
      <w:r>
        <w:rPr>
          <w:rFonts w:ascii="Times New Roman" w:hAnsi="Times New Roman"/>
          <w:b w:val="false"/>
          <w:i/>
          <w:color w:val="000000"/>
          <w:sz w:val="22"/>
        </w:rPr>
        <w:t xml:space="preserve">Board refusal to issue license. </w:t>
      </w:r>
      <w:r>
        <w:rPr>
          <w:rFonts w:ascii="Times New Roman" w:hAnsi="Times New Roman"/>
          <w:b w:val="false"/>
          <w:i w:val="false"/>
          <w:color w:val="000000"/>
          <w:sz w:val="22"/>
        </w:rPr>
        <w:t>The board may refuse to issue a certificate of licensure to any person otherwise qualified upon any of the grounds for which a license may be revoked or suspended or may otherwise discipline a licensee based upon a suspension, revocation, or other disciplinary action taken by a licensing authority in this or another jurisdiction. For purposes of this subrule, “disciplinary action” includes the voluntary surrender of a license to resolve a pending disciplinary investigation or proceeding. A certified copy of the record or order of suspension, revocation, voluntary surrender, or other disciplinary action is prima facie evidence of such fact.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0232D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481—1062.3</w:t>
      </w:r>
      <w:r>
        <w:rPr>
          <w:rFonts w:ascii="Times New Roman" w:hAnsi="Times New Roman"/>
          <w:b/>
          <w:i w:val="false"/>
          <w:color w:val="000000"/>
          <w:sz w:val="22"/>
        </w:rPr>
        <w:t xml:space="preserve">(17A,272C,544A) </w:t>
      </w:r>
      <w:r>
        <w:rPr>
          <w:rFonts w:ascii="Times New Roman" w:hAnsi="Times New Roman"/>
          <w:b/>
          <w:i w:val="false"/>
          <w:color w:val="000000"/>
          <w:sz w:val="22"/>
        </w:rPr>
        <w:t xml:space="preserve">Renewal of certificates of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1062.3(1)</w:t>
      </w:r>
      <w:r>
        <w:rPr>
          <w:rFonts w:ascii="Times New Roman" w:hAnsi="Times New Roman"/>
          <w:b w:val="false"/>
          <w:i w:val="false"/>
          <w:color w:val="000000"/>
          <w:sz w:val="22"/>
        </w:rPr>
        <w:t> </w:t>
      </w:r>
      <w:r>
        <w:rPr>
          <w:rFonts w:ascii="Times New Roman" w:hAnsi="Times New Roman"/>
          <w:b w:val="false"/>
          <w:i/>
          <w:color w:val="000000"/>
          <w:sz w:val="22"/>
        </w:rPr>
        <w:t xml:space="preserve">Active status. </w:t>
      </w:r>
      <w:r>
        <w:rPr>
          <w:rFonts w:ascii="Times New Roman" w:hAnsi="Times New Roman"/>
          <w:b w:val="false"/>
          <w:i w:val="false"/>
          <w:color w:val="000000"/>
          <w:sz w:val="22"/>
        </w:rPr>
        <w:t xml:space="preserve">Certificates of licensure expire biennially on June 30. In order to maintain authorization to practice in Iowa, a licensee is required to renew the certificate of licensure prior to July 1 of the year of expiration. A licensee who fails to renew by the expiration date is not authorized to practice architecture in Iowa until the certificate is reinstated as provided in rule </w:t>
      </w:r>
      <w:hyperlink r:id="rId12">
        <w:r>
          <w:rPr>
            <w:rStyle w:val="Hyperlink"/>
            <w:rFonts w:ascii="Times New Roman" w:hAnsi="Times New Roman"/>
            <w:b w:val="false"/>
            <w:i w:val="false"/>
            <w:color w:val="000000"/>
            <w:sz w:val="22"/>
          </w:rPr>
          <w:t>481—1062.4</w:t>
        </w:r>
      </w:hyperlink>
      <w:r>
        <w:rPr>
          <w:rFonts w:ascii="Times New Roman" w:hAnsi="Times New Roman"/>
          <w:b w:val="false"/>
          <w:i w:val="false"/>
          <w:color w:val="000000"/>
          <w:sz w:val="22"/>
        </w:rPr>
        <w:t>(544A,17A).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whose last name begins with the letter A through K will renew in even-numbered years, and a licensee whose last name begins with the letter L through Z will renew in odd-numbered years. However, a license issued on or after May 1 but before June 30 will not expire until June 30 of the next renewal. For example, a license issued on May 17, 2020, would not expire until June 30, 2022.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It is the policy of the board to send to each licensee a notice of the pending expiration date at the licensee’s last-known address approximately one month prior to the date the certificate of licensure is scheduled to expire. The notice, when provided, may be by email communication. Failure to receive this notice does not relieve the licensee of the responsibility to timely renew the certificate and pay the renewal fee. A licensee should contact the board office if the licensee does not receive a renewal notice prior to the date of expiration.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Upon the board’s receipt of a timely and sufficient renewal application as provided in </w:t>
      </w:r>
      <w:hyperlink r:id="rId13">
        <w:r>
          <w:rPr>
            <w:rStyle w:val="Hyperlink"/>
            <w:rFonts w:ascii="Times New Roman" w:hAnsi="Times New Roman"/>
            <w:b w:val="false"/>
            <w:i w:val="false"/>
            <w:color w:val="000000"/>
            <w:sz w:val="22"/>
          </w:rPr>
          <w:t>193—subrule 7.40(3)</w:t>
        </w:r>
      </w:hyperlink>
      <w:r>
        <w:rPr>
          <w:rFonts w:ascii="Times New Roman" w:hAnsi="Times New Roman"/>
          <w:b w:val="false"/>
          <w:i w:val="false"/>
          <w:color w:val="000000"/>
          <w:sz w:val="22"/>
        </w:rPr>
        <w:t xml:space="preserve">, the board’s administrator will issue a new certificate of licensure reflecting the next expiration date unless grounds exist for denial of the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grounds exist to deny a timely and sufficient application to renew, the board will send notification to the applicant. Grounds may exist to deny an application to renew if, for instance, the licensee failed to satisfy the continuing education as required as a condition for licensure. If the basis for denial is pending disciplinary action or disciplinary investigation that is reasonably expected to culminate in disciplinary action, the board will proceed as provided in </w:t>
      </w:r>
      <w:hyperlink r:id="rId14">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xml:space="preserve">. If the basis for denial is not related to a pending or imminent disciplinary action, the applicant may contest the board’s decision as provided in </w:t>
      </w:r>
      <w:hyperlink r:id="rId15">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licensee appears to be in violation of mandatory continuing education requirements, the board may, in lieu of proceeding to a contested case hearing on the denial of a renewal application as provided in rule </w:t>
      </w:r>
      <w:hyperlink r:id="rId16">
        <w:r>
          <w:rPr>
            <w:rStyle w:val="Hyperlink"/>
            <w:rFonts w:ascii="Times New Roman" w:hAnsi="Times New Roman"/>
            <w:b w:val="false"/>
            <w:i w:val="false"/>
            <w:color w:val="000000"/>
            <w:sz w:val="22"/>
          </w:rPr>
          <w:t>481—506.35</w:t>
        </w:r>
      </w:hyperlink>
      <w:r>
        <w:rPr>
          <w:rFonts w:ascii="Times New Roman" w:hAnsi="Times New Roman"/>
          <w:b w:val="false"/>
          <w:i w:val="false"/>
          <w:color w:val="000000"/>
          <w:sz w:val="22"/>
        </w:rPr>
        <w:t xml:space="preserve">(546,272C), and after or in lieu of giving the licensee an opportunity to come into compliance under </w:t>
      </w:r>
      <w:hyperlink r:id="rId17">
        <w:r>
          <w:rPr>
            <w:rStyle w:val="Hyperlink"/>
            <w:rFonts w:ascii="Times New Roman" w:hAnsi="Times New Roman"/>
            <w:b w:val="false"/>
            <w:i w:val="false"/>
            <w:color w:val="000000"/>
            <w:sz w:val="22"/>
          </w:rPr>
          <w:t>481—subrule 1063.3(3)</w:t>
        </w:r>
      </w:hyperlink>
      <w:r>
        <w:rPr>
          <w:rFonts w:ascii="Times New Roman" w:hAnsi="Times New Roman"/>
          <w:b w:val="false"/>
          <w:i w:val="false"/>
          <w:color w:val="000000"/>
          <w:sz w:val="22"/>
        </w:rPr>
        <w:t xml:space="preserve">, offer a licensee the opportunity to sign a consent order. While the terms of the consent order will be tailored to the specific circumstances at issue, the consent order will typically impose a penalty between $50 and $250, depending on the severity of the violation; establish deadlines for compliance; and require that the licensee complete hours equal to double the deficiency in addition to the required hours; and may impose additional educational requirements on the licensee. Any additional hours completed in compliance with the consent order cannot again be claimed at the next renewal. The board will address subsequent offenses on a case-by-case basis. A licensee is free to accept or reject the offer. If the offer of settlement is accepted, the licensee will be issued a renewed certificate of licensure and will be subject to disciplinary action if the terms of the consent order are not complied with. If the offer of settlement is rejected, the matter will be set for hearing, if timely requested by the applicant pursuant to </w:t>
      </w:r>
      <w:hyperlink r:id="rId18">
        <w:r>
          <w:rPr>
            <w:rStyle w:val="Hyperlink"/>
            <w:rFonts w:ascii="Times New Roman" w:hAnsi="Times New Roman"/>
            <w:b w:val="false"/>
            <w:i w:val="false"/>
            <w:color w:val="000000"/>
            <w:sz w:val="22"/>
          </w:rPr>
          <w:t>481—subrule 506.32(5)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board may notify a licensee whose certificate of licensure has expired. The failure of the board to provide this courtesy notification or the failure of the licensee to receive the notification will not extend the date of expiration.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licensee who continues to practice architecture in Iowa after the license has expired may be subject to disciplinary action. Such unauthorized activity may also be grounds to deny a licensee’s application for 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1062.3(2)</w:t>
      </w:r>
      <w:r>
        <w:rPr>
          <w:rFonts w:ascii="Times New Roman" w:hAnsi="Times New Roman"/>
          <w:b w:val="false"/>
          <w:i w:val="false"/>
          <w:color w:val="000000"/>
          <w:sz w:val="22"/>
        </w:rPr>
        <w:t> </w:t>
      </w:r>
      <w:r>
        <w:rPr>
          <w:rFonts w:ascii="Times New Roman" w:hAnsi="Times New Roman"/>
          <w:b w:val="false"/>
          <w:i/>
          <w:color w:val="000000"/>
          <w:sz w:val="22"/>
        </w:rPr>
        <w:t xml:space="preserve">Inactive status. </w:t>
      </w:r>
      <w:r>
        <w:rPr>
          <w:rFonts w:ascii="Times New Roman" w:hAnsi="Times New Roman"/>
          <w:b w:val="false"/>
          <w:i w:val="false"/>
          <w:color w:val="000000"/>
          <w:sz w:val="22"/>
        </w:rPr>
        <w:t xml:space="preserve">This subrule establishes a procedure under which a person issued a certificate of licensure as an architect may apply to the board to be licensed as inactive. Licensure under this subrule is available to a license holder who is not engaged in Iowa in any practice for which licensure as an architect is required. A person eligible to be licensed as inactive may, as an alternative to such licensure, allow the certificate of licensure to lapse. During any period of inactive status, a person may use the title “inactive architect” or “retired architect,” but may not use the sole title of “architect” or any other title that might imply that the person is offering services as an architect by such an action in violation of Iowa Code section </w:t>
      </w:r>
      <w:hyperlink r:id="rId19">
        <w:r>
          <w:rPr>
            <w:rStyle w:val="Hyperlink"/>
            <w:rFonts w:ascii="Times New Roman" w:hAnsi="Times New Roman"/>
            <w:b w:val="false"/>
            <w:i w:val="false"/>
            <w:color w:val="000000"/>
            <w:sz w:val="22"/>
          </w:rPr>
          <w:t>544A.15</w:t>
        </w:r>
      </w:hyperlink>
      <w:r>
        <w:rPr>
          <w:rFonts w:ascii="Times New Roman" w:hAnsi="Times New Roman"/>
          <w:b w:val="false"/>
          <w:i w:val="false"/>
          <w:color w:val="000000"/>
          <w:sz w:val="22"/>
        </w:rPr>
        <w:t>. The board will continue to maintain a database of persons licensed as inactive, including information that is not routinely maintained after a certificate has lapsed through the person’s failure to renew. A person who is licensed as inactive will accordingly receive renewal applications, board newsletters and other mass communications from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Affirmation. </w:t>
      </w:r>
      <w:r>
        <w:rPr>
          <w:rFonts w:ascii="Times New Roman" w:hAnsi="Times New Roman"/>
          <w:b w:val="false"/>
          <w:i w:val="false"/>
          <w:color w:val="000000"/>
          <w:sz w:val="22"/>
        </w:rPr>
        <w:t xml:space="preserve">The renewal application form will contain a statement in which the applicant affirms that the applicant will not engage in any of the practices in Iowa that are listed in Iowa Code section </w:t>
      </w:r>
      <w:hyperlink r:id="rId20">
        <w:r>
          <w:rPr>
            <w:rStyle w:val="Hyperlink"/>
            <w:rFonts w:ascii="Times New Roman" w:hAnsi="Times New Roman"/>
            <w:b w:val="false"/>
            <w:i w:val="false"/>
            <w:color w:val="000000"/>
            <w:sz w:val="22"/>
          </w:rPr>
          <w:t>544A.16</w:t>
        </w:r>
      </w:hyperlink>
      <w:r>
        <w:rPr>
          <w:rFonts w:ascii="Times New Roman" w:hAnsi="Times New Roman"/>
          <w:b w:val="false"/>
          <w:i w:val="false"/>
          <w:color w:val="000000"/>
          <w:sz w:val="22"/>
        </w:rPr>
        <w:t xml:space="preserve"> without first complying with all rules governing reinstatement to active status. A person in inactive status may reinstate to active status at any time pursuant to rule </w:t>
      </w:r>
      <w:hyperlink r:id="rId21">
        <w:r>
          <w:rPr>
            <w:rStyle w:val="Hyperlink"/>
            <w:rFonts w:ascii="Times New Roman" w:hAnsi="Times New Roman"/>
            <w:b w:val="false"/>
            <w:i w:val="false"/>
            <w:color w:val="000000"/>
            <w:sz w:val="22"/>
          </w:rPr>
          <w:t>481—1062.5</w:t>
        </w:r>
      </w:hyperlink>
      <w:r>
        <w:rPr>
          <w:rFonts w:ascii="Times New Roman" w:hAnsi="Times New Roman"/>
          <w:b w:val="false"/>
          <w:i w:val="false"/>
          <w:color w:val="000000"/>
          <w:sz w:val="22"/>
        </w:rPr>
        <w:t>(544A).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Renewal. </w:t>
      </w:r>
      <w:r>
        <w:rPr>
          <w:rFonts w:ascii="Times New Roman" w:hAnsi="Times New Roman"/>
          <w:b w:val="false"/>
          <w:i w:val="false"/>
          <w:color w:val="000000"/>
          <w:sz w:val="22"/>
        </w:rPr>
        <w:t xml:space="preserve">A person licensed as inactive may renew the person’s certificate of licensure on the biennial schedule described in this rule. This person shall be exempt from the continuing education requirements and will be charged a reduced renewal fee as provided in rule </w:t>
      </w:r>
      <w:hyperlink r:id="rId22">
        <w:r>
          <w:rPr>
            <w:rStyle w:val="Hyperlink"/>
            <w:rFonts w:ascii="Times New Roman" w:hAnsi="Times New Roman"/>
            <w:b w:val="false"/>
            <w:i w:val="false"/>
            <w:color w:val="000000"/>
            <w:sz w:val="22"/>
          </w:rPr>
          <w:t>481—1062.9</w:t>
        </w:r>
      </w:hyperlink>
      <w:r>
        <w:rPr>
          <w:rFonts w:ascii="Times New Roman" w:hAnsi="Times New Roman"/>
          <w:b w:val="false"/>
          <w:i w:val="false"/>
          <w:color w:val="000000"/>
          <w:sz w:val="22"/>
        </w:rPr>
        <w:t xml:space="preserve">(544A,17A). An inactive certificate of licensure will lapse if not timely renewed.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Permitted practices. </w:t>
      </w:r>
      <w:r>
        <w:rPr>
          <w:rFonts w:ascii="Times New Roman" w:hAnsi="Times New Roman"/>
          <w:b w:val="false"/>
          <w:i w:val="false"/>
          <w:color w:val="000000"/>
          <w:sz w:val="22"/>
        </w:rPr>
        <w:t xml:space="preserve">A person may, while licensed as inactive, perform for a client, business, employer, government body, or other entity those services that may lawfully be provided by a person to whom a certificate of licensure has never been issued. Such services may be performed as long as the person does not in connection with such services use the title “architect” or any other title restricted for use only by architects pursuant to Iowa Code section </w:t>
      </w:r>
      <w:hyperlink r:id="rId23">
        <w:r>
          <w:rPr>
            <w:rStyle w:val="Hyperlink"/>
            <w:rFonts w:ascii="Times New Roman" w:hAnsi="Times New Roman"/>
            <w:b w:val="false"/>
            <w:i w:val="false"/>
            <w:color w:val="000000"/>
            <w:sz w:val="22"/>
          </w:rPr>
          <w:t>544A.15</w:t>
        </w:r>
      </w:hyperlink>
      <w:r>
        <w:rPr>
          <w:rFonts w:ascii="Times New Roman" w:hAnsi="Times New Roman"/>
          <w:b w:val="false"/>
          <w:i w:val="false"/>
          <w:color w:val="000000"/>
          <w:sz w:val="22"/>
        </w:rPr>
        <w:t xml:space="preserve"> (without additional designations such as “inactive” or “retired”). Restricted titles may be used only by active architects who are subject to continuing education requirements to ensure that the use of such titles is consistently associated with the maintenance of competency through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Prohibited practices. </w:t>
      </w:r>
      <w:r>
        <w:rPr>
          <w:rFonts w:ascii="Times New Roman" w:hAnsi="Times New Roman"/>
          <w:b w:val="false"/>
          <w:i w:val="false"/>
          <w:color w:val="000000"/>
          <w:sz w:val="22"/>
        </w:rPr>
        <w:t xml:space="preserve">A person who, while licensed as inactive, engages in any of the practices described in Iowa Code sections </w:t>
      </w:r>
      <w:hyperlink r:id="rId24">
        <w:r>
          <w:rPr>
            <w:rStyle w:val="Hyperlink"/>
            <w:rFonts w:ascii="Times New Roman" w:hAnsi="Times New Roman"/>
            <w:b w:val="false"/>
            <w:i w:val="false"/>
            <w:color w:val="000000"/>
            <w:sz w:val="22"/>
          </w:rPr>
          <w:t>544A.15</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544A.16</w:t>
        </w:r>
      </w:hyperlink>
      <w:r>
        <w:rPr>
          <w:rFonts w:ascii="Times New Roman" w:hAnsi="Times New Roman"/>
          <w:b w:val="false"/>
          <w:i w:val="false"/>
          <w:color w:val="000000"/>
          <w:sz w:val="22"/>
        </w:rPr>
        <w:t xml:space="preserve"> is subject to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Exemption. </w:t>
      </w:r>
      <w:r>
        <w:rPr>
          <w:rFonts w:ascii="Times New Roman" w:hAnsi="Times New Roman"/>
          <w:b w:val="false"/>
          <w:i w:val="false"/>
          <w:color w:val="000000"/>
          <w:sz w:val="22"/>
        </w:rPr>
        <w:t>A person whose license as an architect has been placed on probation, suspended, revoked, or voluntarily surrendered in connection with a disciplinary investigation or proceeding shall not be eligible for inactive status unless, upon appropriate application, the board first reinstates the license to good standing.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481—1062.4</w:t>
      </w:r>
      <w:r>
        <w:rPr>
          <w:rFonts w:ascii="Times New Roman" w:hAnsi="Times New Roman"/>
          <w:b/>
          <w:i w:val="false"/>
          <w:color w:val="000000"/>
          <w:sz w:val="22"/>
        </w:rPr>
        <w:t xml:space="preserve">(544A,17A) </w:t>
      </w:r>
      <w:r>
        <w:rPr>
          <w:rFonts w:ascii="Times New Roman" w:hAnsi="Times New Roman"/>
          <w:b/>
          <w:i w:val="false"/>
          <w:color w:val="000000"/>
          <w:sz w:val="22"/>
        </w:rPr>
        <w:t xml:space="preserve">Reinstatement of lapsed certificate of licensure to active status. </w:t>
      </w:r>
      <w:r>
        <w:rPr>
          <w:rFonts w:ascii="Times New Roman" w:hAnsi="Times New Roman"/>
          <w:b w:val="false"/>
          <w:i w:val="false"/>
          <w:color w:val="000000"/>
          <w:sz w:val="22"/>
        </w:rPr>
        <w:t>An individual may reinstate a lapsed certificate of licensure to active licensure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1062.4(1)</w:t>
      </w:r>
      <w:r>
        <w:rPr>
          <w:rFonts w:ascii="Times New Roman" w:hAnsi="Times New Roman"/>
          <w:b w:val="false"/>
          <w:i w:val="false"/>
          <w:color w:val="000000"/>
          <w:sz w:val="22"/>
        </w:rPr>
        <w:t> </w:t>
      </w:r>
      <w:r>
        <w:rPr>
          <w:rFonts w:ascii="Times New Roman" w:hAnsi="Times New Roman"/>
          <w:b w:val="false"/>
          <w:i w:val="false"/>
          <w:color w:val="000000"/>
          <w:sz w:val="22"/>
        </w:rPr>
        <w:t>Pay the current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1062.4(2)</w:t>
      </w:r>
      <w:r>
        <w:rPr>
          <w:rFonts w:ascii="Times New Roman" w:hAnsi="Times New Roman"/>
          <w:b w:val="false"/>
          <w:i w:val="false"/>
          <w:color w:val="000000"/>
          <w:sz w:val="22"/>
        </w:rPr>
        <w:t> </w:t>
      </w:r>
      <w:r>
        <w:rPr>
          <w:rFonts w:ascii="Times New Roman" w:hAnsi="Times New Roman"/>
          <w:b w:val="false"/>
          <w:i w:val="false"/>
          <w:color w:val="000000"/>
          <w:sz w:val="22"/>
        </w:rPr>
        <w:t>Pay the reinstatement fee of $100 plus $25 per month or partial month of expired licensure up to a maximum of $750. All applicants for reinstatement shall be assessed the $100 reinstatement fee. The $25 per month shall not be assessed if the applicant for reinstatement did not, during the period of lapse, engage in any acts or practices for which an active architect license is required in Iowa. Falsely claiming an exemption from the monthly fee is a ground for discipline; in addition, other grounds for discipline may arise from practicing on a lapsed certificate, license or permit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1062.4(3)</w:t>
      </w:r>
      <w:r>
        <w:rPr>
          <w:rFonts w:ascii="Times New Roman" w:hAnsi="Times New Roman"/>
          <w:b w:val="false"/>
          <w:i w:val="false"/>
          <w:color w:val="000000"/>
          <w:sz w:val="22"/>
        </w:rPr>
        <w:t> </w:t>
      </w:r>
      <w:r>
        <w:rPr>
          <w:rFonts w:ascii="Times New Roman" w:hAnsi="Times New Roman"/>
          <w:b w:val="false"/>
          <w:i w:val="false"/>
          <w:color w:val="000000"/>
          <w:sz w:val="22"/>
        </w:rPr>
        <w:t>Provide a written statement outlining the applicant’s professional activities performed in Iowa during the period in which the individual was unlicensed. The statement shall include a list of all projects with which the applicant had involvement and shall explain the service provided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1062.4(4)</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documented evidence of completion of 24 continuing education hours, which should have been reported on the June 30 renewal date on which the applicant failed to renew, and 12 continuing education hours for each year or portion of a year of expired licensure up to a maximum of 48 continuing education hours. All continuing education hours must be completed in health, safety, and welfare subjects acquired in structured educational activities and be in compliance with requirements in </w:t>
      </w:r>
      <w:hyperlink r:id="rId26">
        <w:r>
          <w:rPr>
            <w:rStyle w:val="Hyperlink"/>
            <w:rFonts w:ascii="Times New Roman" w:hAnsi="Times New Roman"/>
            <w:b w:val="false"/>
            <w:i w:val="false"/>
            <w:color w:val="000000"/>
            <w:sz w:val="22"/>
          </w:rPr>
          <w:t>481—Chapter 1063</w:t>
        </w:r>
      </w:hyperlink>
      <w:r>
        <w:rPr>
          <w:rFonts w:ascii="Times New Roman" w:hAnsi="Times New Roman"/>
          <w:b w:val="false"/>
          <w:i w:val="false"/>
          <w:color w:val="000000"/>
          <w:sz w:val="22"/>
        </w:rPr>
        <w:t xml:space="preserve">. The hours reported shall not have been earned more than four years prior to the date of the application to reinstate to active status. The continuing education hours used for reinstatement may not be used again at the next renewal.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481—1062.5</w:t>
      </w:r>
      <w:r>
        <w:rPr>
          <w:rFonts w:ascii="Times New Roman" w:hAnsi="Times New Roman"/>
          <w:b/>
          <w:i w:val="false"/>
          <w:color w:val="000000"/>
          <w:sz w:val="22"/>
        </w:rPr>
        <w:t xml:space="preserve">(544A) </w:t>
      </w:r>
      <w:r>
        <w:rPr>
          <w:rFonts w:ascii="Times New Roman" w:hAnsi="Times New Roman"/>
          <w:b/>
          <w:i w:val="false"/>
          <w:color w:val="000000"/>
          <w:sz w:val="22"/>
        </w:rPr>
        <w:t xml:space="preserve">Reinstatement from inactive status to active status. </w:t>
      </w:r>
      <w:r>
        <w:rPr>
          <w:rFonts w:ascii="Times New Roman" w:hAnsi="Times New Roman"/>
          <w:b w:val="false"/>
          <w:i w:val="false"/>
          <w:color w:val="000000"/>
          <w:sz w:val="22"/>
        </w:rPr>
        <w:t>An individual may reinstate an inactive license to an active license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1062.5(1)</w:t>
      </w:r>
      <w:r>
        <w:rPr>
          <w:rFonts w:ascii="Times New Roman" w:hAnsi="Times New Roman"/>
          <w:b w:val="false"/>
          <w:i w:val="false"/>
          <w:color w:val="000000"/>
          <w:sz w:val="22"/>
        </w:rPr>
        <w:t> </w:t>
      </w:r>
      <w:r>
        <w:rPr>
          <w:rFonts w:ascii="Times New Roman" w:hAnsi="Times New Roman"/>
          <w:b w:val="false"/>
          <w:i w:val="false"/>
          <w:color w:val="000000"/>
          <w:sz w:val="22"/>
        </w:rPr>
        <w:t>Pay one-half of the current active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1062.5(2)</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documented evidence of completion of 24 continuing education hours in compliance with requirements in </w:t>
      </w:r>
      <w:hyperlink r:id="rId27">
        <w:r>
          <w:rPr>
            <w:rStyle w:val="Hyperlink"/>
            <w:rFonts w:ascii="Times New Roman" w:hAnsi="Times New Roman"/>
            <w:b w:val="false"/>
            <w:i w:val="false"/>
            <w:color w:val="000000"/>
            <w:sz w:val="22"/>
          </w:rPr>
          <w:t>481—Chapter 1063</w:t>
        </w:r>
      </w:hyperlink>
      <w:r>
        <w:rPr>
          <w:rFonts w:ascii="Times New Roman" w:hAnsi="Times New Roman"/>
          <w:b w:val="false"/>
          <w:i w:val="false"/>
          <w:color w:val="000000"/>
          <w:sz w:val="22"/>
        </w:rPr>
        <w:t>. All continuing education hours must be completed in health, safety, and welfare subjects acquired in structured educational activities. The hours reported shall not have been earned more than four years prior to the date of the application to reinstate to active status. The hours used to reinstate to active status cannot again be used to renew.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the first biennial renewal date of July 1 that is less than 12 months from the date of the filing of the application to restore the certificate of licensure to active status, the person shall not be required to report continuing education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the first biennial renewal date of July 1 that is 12 months or more, but less than 24 months, from the date of the filing of the application to restore the certificate of licensure to active status, the person shall report 12 hours of previously unreported continuing education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1062.5(3)</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a written statement in which the applicant affirms that the applicant has not engaged in any of the practices in Iowa that are listed in Iowa Code section </w:t>
      </w:r>
      <w:hyperlink r:id="rId28">
        <w:r>
          <w:rPr>
            <w:rStyle w:val="Hyperlink"/>
            <w:rFonts w:ascii="Times New Roman" w:hAnsi="Times New Roman"/>
            <w:b w:val="false"/>
            <w:i w:val="false"/>
            <w:color w:val="000000"/>
            <w:sz w:val="22"/>
          </w:rPr>
          <w:t>544A.16</w:t>
        </w:r>
      </w:hyperlink>
      <w:r>
        <w:rPr>
          <w:rFonts w:ascii="Times New Roman" w:hAnsi="Times New Roman"/>
          <w:b w:val="false"/>
          <w:i w:val="false"/>
          <w:color w:val="000000"/>
          <w:sz w:val="22"/>
        </w:rPr>
        <w:t xml:space="preserve"> during the period of inactive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481—1062.6</w:t>
      </w:r>
      <w:r>
        <w:rPr>
          <w:rFonts w:ascii="Times New Roman" w:hAnsi="Times New Roman"/>
          <w:b/>
          <w:i w:val="false"/>
          <w:color w:val="000000"/>
          <w:sz w:val="22"/>
        </w:rPr>
        <w:t xml:space="preserve">(544A,17A) </w:t>
      </w:r>
      <w:r>
        <w:rPr>
          <w:rFonts w:ascii="Times New Roman" w:hAnsi="Times New Roman"/>
          <w:b/>
          <w:i w:val="false"/>
          <w:color w:val="000000"/>
          <w:sz w:val="22"/>
        </w:rPr>
        <w:t xml:space="preserve">Finding of probable cause for unlicensed practice. </w:t>
      </w:r>
      <w:r>
        <w:rPr>
          <w:rFonts w:ascii="Times New Roman" w:hAnsi="Times New Roman"/>
          <w:b w:val="false"/>
          <w:i w:val="false"/>
          <w:color w:val="000000"/>
          <w:sz w:val="22"/>
        </w:rPr>
        <w:t xml:space="preserve">The board may find probable cause to file charges for unlicensed practice if the individual continues to offer services defined as the practice of architecture outlined in Iowa Code section </w:t>
      </w:r>
      <w:hyperlink r:id="rId29">
        <w:r>
          <w:rPr>
            <w:rStyle w:val="Hyperlink"/>
            <w:rFonts w:ascii="Times New Roman" w:hAnsi="Times New Roman"/>
            <w:b w:val="false"/>
            <w:i w:val="false"/>
            <w:color w:val="000000"/>
            <w:sz w:val="22"/>
          </w:rPr>
          <w:t>544A.16</w:t>
        </w:r>
      </w:hyperlink>
      <w:r>
        <w:rPr>
          <w:rFonts w:ascii="Times New Roman" w:hAnsi="Times New Roman"/>
          <w:b w:val="false"/>
          <w:i w:val="false"/>
          <w:color w:val="000000"/>
          <w:sz w:val="22"/>
        </w:rPr>
        <w:t xml:space="preserve"> while using the title “architect,” “architectural designer,” or similar designation during the period of lapsed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481—1062.7</w:t>
      </w:r>
      <w:r>
        <w:rPr>
          <w:rFonts w:ascii="Times New Roman" w:hAnsi="Times New Roman"/>
          <w:b/>
          <w:i w:val="false"/>
          <w:color w:val="000000"/>
          <w:sz w:val="22"/>
        </w:rPr>
        <w:t xml:space="preserve">(544A,272C) </w:t>
      </w:r>
      <w:r>
        <w:rPr>
          <w:rFonts w:ascii="Times New Roman" w:hAnsi="Times New Roman"/>
          <w:b/>
          <w:i w:val="false"/>
          <w:color w:val="000000"/>
          <w:sz w:val="22"/>
        </w:rPr>
        <w:t xml:space="preserve">Responsibility for accuracy of applications. </w:t>
      </w:r>
      <w:r>
        <w:rPr>
          <w:rFonts w:ascii="Times New Roman" w:hAnsi="Times New Roman"/>
          <w:b w:val="false"/>
          <w:i w:val="false"/>
          <w:color w:val="000000"/>
          <w:sz w:val="22"/>
        </w:rPr>
        <w:t>The architect is responsible for verifying the accuracy of the information submitted on an application regardless of how the application is submitted or by whom it is submitted. For instance, if the office manager of an architect’s firm submits an application for renewal on behalf of the architect and that information is incorrect, the architect will be held responsible for the information and may be subject to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481—1062.8</w:t>
      </w:r>
      <w:r>
        <w:rPr>
          <w:rFonts w:ascii="Times New Roman" w:hAnsi="Times New Roman"/>
          <w:b/>
          <w:i w:val="false"/>
          <w:color w:val="000000"/>
          <w:sz w:val="22"/>
        </w:rPr>
        <w:t xml:space="preserve">(544A,272C) </w:t>
      </w:r>
      <w:r>
        <w:rPr>
          <w:rFonts w:ascii="Times New Roman" w:hAnsi="Times New Roman"/>
          <w:b/>
          <w:i w:val="false"/>
          <w:color w:val="000000"/>
          <w:sz w:val="22"/>
        </w:rPr>
        <w:t xml:space="preserve">Application denial. </w:t>
      </w:r>
      <w:r>
        <w:rPr>
          <w:rFonts w:ascii="Times New Roman" w:hAnsi="Times New Roman"/>
          <w:b w:val="false"/>
          <w:i w:val="false"/>
          <w:color w:val="000000"/>
          <w:sz w:val="22"/>
        </w:rPr>
        <w:t xml:space="preserve">An application may be denied on the grounds provided in Iowa Code chapter </w:t>
      </w:r>
      <w:hyperlink r:id="rId30">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and in rule </w:t>
      </w:r>
      <w:hyperlink r:id="rId31">
        <w:r>
          <w:rPr>
            <w:rStyle w:val="Hyperlink"/>
            <w:rFonts w:ascii="Times New Roman" w:hAnsi="Times New Roman"/>
            <w:b w:val="false"/>
            <w:i w:val="false"/>
            <w:color w:val="000000"/>
            <w:sz w:val="22"/>
          </w:rPr>
          <w:t>481—500.6</w:t>
        </w:r>
      </w:hyperlink>
      <w:r>
        <w:rPr>
          <w:rFonts w:ascii="Times New Roman" w:hAnsi="Times New Roman"/>
          <w:b w:val="false"/>
          <w:i w:val="false"/>
          <w:color w:val="000000"/>
          <w:sz w:val="22"/>
        </w:rPr>
        <w:t>(17A,147,272C). The administrative processing of an application shall not prevent the later initiation of a contested case to challenge a licensee’s qualifications for licensure. The board may also deny a license on the grounds of submitting a false statement or submission of material fact on an application for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481—1062.9</w:t>
      </w:r>
      <w:r>
        <w:rPr>
          <w:rFonts w:ascii="Times New Roman" w:hAnsi="Times New Roman"/>
          <w:b/>
          <w:i w:val="false"/>
          <w:color w:val="000000"/>
          <w:sz w:val="22"/>
        </w:rPr>
        <w:t xml:space="preserve">(544A,17A) </w:t>
      </w:r>
      <w:r>
        <w:rPr>
          <w:rFonts w:ascii="Times New Roman" w:hAnsi="Times New Roman"/>
          <w:b/>
          <w:i w:val="false"/>
          <w:color w:val="000000"/>
          <w:sz w:val="22"/>
        </w:rPr>
        <w:t xml:space="preserve">Fee schedule. </w:t>
      </w:r>
      <w:r>
        <w:rPr>
          <w:rFonts w:ascii="Times New Roman" w:hAnsi="Times New Roman"/>
          <w:b w:val="false"/>
          <w:i w:val="false"/>
          <w:color w:val="000000"/>
          <w:sz w:val="22"/>
        </w:rPr>
        <w:t xml:space="preserve">Under the authority provided in Iowa Code chapter </w:t>
      </w:r>
      <w:hyperlink r:id="rId32">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the following fees are hereby adopted:</w:t>
      </w:r>
    </w:p>
    <w:tbl>
      <w:tblPr>
        <w:tblW w:w="0" w:type="auto"/>
        <w:tblCellSpacing w:w="0" w:type="auto"/>
        <w:tblBorders>
          <w:top w:val="none"/>
          <w:left w:val="none"/>
          <w:bottom w:val="none"/>
          <w:right w:val="none"/>
          <w:insideH w:val="none"/>
          <w:insideV w:val="none"/>
        </w:tblBorders>
        <w:tblLayout w:type="fixed"/>
      </w:tblPr>
      <w:tblGrid>
        <w:gridCol w:w="7293"/>
        <w:gridCol w:w="4213"/>
      </w:tblGrid>
      <w:tr>
        <w:trPr>
          <w:trHeight w:val="180" w:hRule="atLeast"/>
        </w:trPr>
        <w:tc>
          <w:tcPr>
            <w:tcW w:w="72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Examination fees:</w:t>
            </w:r>
          </w:p>
        </w:tc>
        <w:tc>
          <w:tcPr>
            <w:tcW w:w="421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45" w:hRule="atLeast"/>
        </w:trPr>
        <w:tc>
          <w:tcPr>
            <w:tcW w:w="7293" w:type="dxa"/>
            <w:tcBorders/>
            <w:tcMar>
              <w:top w:w="30" w:type="dxa"/>
              <w:left w:w="30" w:type="dxa"/>
              <w:bottom w:w="15" w:type="dxa"/>
              <w:right w:w="30" w:type="dxa"/>
            </w:tcMar>
            <w:vAlign w:val="top"/>
          </w:tcPr>
          <w:p>
            <w:pPr>
              <w:spacing w:before="0" w:after="0" w:line="264"/>
              <w:ind w:left="396"/>
              <w:jc w:val="left"/>
            </w:pPr>
            <w:r>
              <w:rPr>
                <w:rFonts w:ascii="Times New Roman" w:hAnsi="Times New Roman"/>
                <w:b w:val="false"/>
                <w:i w:val="false"/>
                <w:color w:val="000000"/>
                <w:sz w:val="14"/>
              </w:rPr>
              <w:t>Fees for examination subjects shall be paid directly to the testing service selected by NCARB.</w:t>
            </w:r>
          </w:p>
        </w:tc>
        <w:tc>
          <w:tcPr>
            <w:tcW w:w="421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72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Initial license fee</w:t>
            </w:r>
          </w:p>
        </w:tc>
        <w:tc>
          <w:tcPr>
            <w:tcW w:w="421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$50</w:t>
            </w:r>
          </w:p>
        </w:tc>
      </w:tr>
      <w:tr>
        <w:trPr>
          <w:trHeight w:val="180" w:hRule="atLeast"/>
        </w:trPr>
        <w:tc>
          <w:tcPr>
            <w:tcW w:w="7293"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(plus $5 per month until renewal)</w:t>
            </w:r>
          </w:p>
        </w:tc>
        <w:tc>
          <w:tcPr>
            <w:tcW w:w="421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72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Reciprocal application and license fee</w:t>
            </w:r>
          </w:p>
        </w:tc>
        <w:tc>
          <w:tcPr>
            <w:tcW w:w="421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$200</w:t>
            </w:r>
          </w:p>
        </w:tc>
      </w:tr>
      <w:tr>
        <w:trPr>
          <w:trHeight w:val="180" w:hRule="atLeast"/>
        </w:trPr>
        <w:tc>
          <w:tcPr>
            <w:tcW w:w="72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Verification application and license fee</w:t>
            </w:r>
          </w:p>
        </w:tc>
        <w:tc>
          <w:tcPr>
            <w:tcW w:w="421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$200</w:t>
            </w:r>
          </w:p>
        </w:tc>
      </w:tr>
      <w:tr>
        <w:trPr>
          <w:trHeight w:val="180" w:hRule="atLeast"/>
        </w:trPr>
        <w:tc>
          <w:tcPr>
            <w:tcW w:w="72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Biennial renewal fee</w:t>
            </w:r>
          </w:p>
        </w:tc>
        <w:tc>
          <w:tcPr>
            <w:tcW w:w="421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$200</w:t>
            </w:r>
          </w:p>
        </w:tc>
      </w:tr>
      <w:tr>
        <w:trPr>
          <w:trHeight w:val="180" w:hRule="atLeast"/>
        </w:trPr>
        <w:tc>
          <w:tcPr>
            <w:tcW w:w="72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Biennial renewal fee (inactive)</w:t>
            </w:r>
          </w:p>
        </w:tc>
        <w:tc>
          <w:tcPr>
            <w:tcW w:w="421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w:t>
            </w:r>
          </w:p>
        </w:tc>
      </w:tr>
      <w:tr>
        <w:trPr>
          <w:trHeight w:val="345" w:hRule="atLeast"/>
        </w:trPr>
        <w:tc>
          <w:tcPr>
            <w:tcW w:w="72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Reinstatement of lapsed individual license</w:t>
            </w:r>
          </w:p>
        </w:tc>
        <w:tc>
          <w:tcPr>
            <w:tcW w:w="421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 + renewal fee + $25 per month or partial month of expired license</w:t>
            </w:r>
          </w:p>
        </w:tc>
      </w:tr>
      <w:tr>
        <w:trPr>
          <w:trHeight w:val="180" w:hRule="atLeast"/>
        </w:trPr>
        <w:tc>
          <w:tcPr>
            <w:tcW w:w="72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Reinstatement of inactive individual license</w:t>
            </w:r>
          </w:p>
        </w:tc>
        <w:tc>
          <w:tcPr>
            <w:tcW w:w="421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w:t>
            </w:r>
          </w:p>
        </w:tc>
      </w:tr>
      <w:tr>
        <w:trPr>
          <w:trHeight w:val="180" w:hRule="atLeast"/>
        </w:trPr>
        <w:tc>
          <w:tcPr>
            <w:tcW w:w="72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Duplicate wall certificate fee</w:t>
            </w:r>
          </w:p>
        </w:tc>
        <w:tc>
          <w:tcPr>
            <w:tcW w:w="421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$50</w:t>
            </w:r>
          </w:p>
        </w:tc>
      </w:tr>
      <w:tr>
        <w:trPr>
          <w:trHeight w:val="180" w:hRule="atLeast"/>
        </w:trPr>
        <w:tc>
          <w:tcPr>
            <w:tcW w:w="72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License predetermination fee</w:t>
            </w:r>
          </w:p>
        </w:tc>
        <w:tc>
          <w:tcPr>
            <w:tcW w:w="421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$25</w:t>
            </w:r>
          </w:p>
        </w:tc>
      </w:tr>
      <w:tr>
        <w:trPr>
          <w:trHeight w:val="180" w:hRule="atLeast"/>
        </w:trPr>
        <w:tc>
          <w:tcPr>
            <w:tcW w:w="72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for return of payment</w:t>
            </w:r>
          </w:p>
        </w:tc>
        <w:tc>
          <w:tcPr>
            <w:tcW w:w="421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$30</w:t>
            </w:r>
          </w:p>
        </w:tc>
      </w:tr>
      <w:tr>
        <w:trPr>
          <w:trHeight w:val="180" w:hRule="atLeast"/>
        </w:trPr>
        <w:tc>
          <w:tcPr>
            <w:tcW w:w="72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All fees are nonrefundable.</w:t>
            </w:r>
          </w:p>
        </w:tc>
        <w:tc>
          <w:tcPr>
            <w:tcW w:w="421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33">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10/1/76, Notice 9/8/76—published 10/20/76, effective 12/8/76]</w:t>
      </w:r>
    </w:p>
    <w:p>
      <w:pPr>
        <w:spacing w:before="0" w:after="0"/>
        <w:ind w:left="120"/>
        <w:jc w:val="center"/>
      </w:pPr>
      <w:r>
        <w:rPr>
          <w:rFonts w:ascii="Times New Roman" w:hAnsi="Times New Roman"/>
          <w:b w:val="false"/>
          <w:i w:val="false"/>
          <w:color w:val="000000"/>
          <w:sz w:val="21"/>
        </w:rPr>
        <w:t>[Filed 3/15/78, Notice 11/30/77—published 4/5/78, effective 5/10/78]</w:t>
      </w:r>
    </w:p>
    <w:p>
      <w:pPr>
        <w:spacing w:before="0" w:after="0"/>
        <w:ind w:left="120"/>
        <w:jc w:val="center"/>
      </w:pPr>
      <w:r>
        <w:rPr>
          <w:rFonts w:ascii="Times New Roman" w:hAnsi="Times New Roman"/>
          <w:b w:val="false"/>
          <w:i w:val="false"/>
          <w:color w:val="000000"/>
          <w:sz w:val="21"/>
        </w:rPr>
        <w:t>[Filed 1/23/81, Notice 9/3/80—published 2/18/81, effective 3/25/81]</w:t>
      </w:r>
    </w:p>
    <w:p>
      <w:pPr>
        <w:spacing w:before="0" w:after="0"/>
        <w:ind w:left="120"/>
        <w:jc w:val="center"/>
      </w:pPr>
      <w:r>
        <w:rPr>
          <w:rFonts w:ascii="Times New Roman" w:hAnsi="Times New Roman"/>
          <w:b w:val="false"/>
          <w:i w:val="false"/>
          <w:color w:val="000000"/>
          <w:sz w:val="21"/>
        </w:rPr>
        <w:t>[Filed 5/8/81, Notice 4/1/81—published 5/27/81, effective 7/1/81]</w:t>
      </w:r>
    </w:p>
    <w:p>
      <w:pPr>
        <w:spacing w:before="0" w:after="0"/>
        <w:ind w:left="120"/>
        <w:jc w:val="center"/>
      </w:pPr>
      <w:r>
        <w:rPr>
          <w:rFonts w:ascii="Times New Roman" w:hAnsi="Times New Roman"/>
          <w:b w:val="false"/>
          <w:i w:val="false"/>
          <w:color w:val="000000"/>
          <w:sz w:val="21"/>
        </w:rPr>
        <w:t>[Filed 2/7/83, Notice 12/22/82—published 3/2/83, effective 4/6/83]</w:t>
      </w:r>
    </w:p>
    <w:p>
      <w:pPr>
        <w:spacing w:before="0" w:after="0"/>
        <w:ind w:left="120"/>
        <w:jc w:val="center"/>
      </w:pPr>
      <w:r>
        <w:rPr>
          <w:rFonts w:ascii="Times New Roman" w:hAnsi="Times New Roman"/>
          <w:b w:val="false"/>
          <w:i w:val="false"/>
          <w:color w:val="000000"/>
          <w:sz w:val="21"/>
        </w:rPr>
        <w:t>[Filed 9/13/85, Notice 6/19/85—published 10/9/85, effective 11/13/85]</w:t>
      </w:r>
    </w:p>
    <w:p>
      <w:pPr>
        <w:spacing w:before="0" w:after="0"/>
        <w:ind w:left="120"/>
        <w:jc w:val="center"/>
      </w:pPr>
      <w:r>
        <w:rPr>
          <w:rFonts w:ascii="Times New Roman" w:hAnsi="Times New Roman"/>
          <w:b w:val="false"/>
          <w:i w:val="false"/>
          <w:color w:val="000000"/>
          <w:sz w:val="21"/>
        </w:rPr>
        <w:t>[Filed 10/8/87, Notice 7/15/87—published 11/4/87, effective 12/9/87]</w:t>
      </w:r>
    </w:p>
    <w:p>
      <w:pPr>
        <w:spacing w:before="0" w:after="0"/>
        <w:ind w:left="120"/>
        <w:jc w:val="center"/>
      </w:pPr>
      <w:r>
        <w:rPr>
          <w:rFonts w:ascii="Times New Roman" w:hAnsi="Times New Roman"/>
          <w:b w:val="false"/>
          <w:i w:val="false"/>
          <w:color w:val="000000"/>
          <w:sz w:val="21"/>
        </w:rPr>
        <w:t>[Filed 6/24/88, Notice 3/9/88—published 7/13/88, effective 8/17/88]</w:t>
      </w:r>
    </w:p>
    <w:p>
      <w:pPr>
        <w:spacing w:before="0" w:after="0"/>
        <w:ind w:left="120"/>
        <w:jc w:val="center"/>
      </w:pPr>
      <w:r>
        <w:rPr>
          <w:rFonts w:ascii="Times New Roman" w:hAnsi="Times New Roman"/>
          <w:b w:val="false"/>
          <w:i w:val="false"/>
          <w:color w:val="000000"/>
          <w:sz w:val="21"/>
        </w:rPr>
        <w:t>[Filed 3/30/89, Notice 1/25/89—published 4/19/89, effective 5/24/89]</w:t>
      </w:r>
    </w:p>
    <w:p>
      <w:pPr>
        <w:spacing w:before="0" w:after="0"/>
        <w:ind w:left="120"/>
        <w:jc w:val="center"/>
      </w:pPr>
      <w:r>
        <w:rPr>
          <w:rFonts w:ascii="Times New Roman" w:hAnsi="Times New Roman"/>
          <w:b w:val="false"/>
          <w:i w:val="false"/>
          <w:color w:val="000000"/>
          <w:sz w:val="21"/>
        </w:rPr>
        <w:t>[Filed 9/15/89, Notice 7/12/89—published 10/4/89, effective 11/8/89]</w:t>
      </w:r>
    </w:p>
    <w:p>
      <w:pPr>
        <w:spacing w:before="0" w:after="0"/>
        <w:ind w:left="120"/>
        <w:jc w:val="center"/>
      </w:pPr>
      <w:r>
        <w:rPr>
          <w:rFonts w:ascii="Times New Roman" w:hAnsi="Times New Roman"/>
          <w:b w:val="false"/>
          <w:i w:val="false"/>
          <w:color w:val="000000"/>
          <w:sz w:val="21"/>
        </w:rPr>
        <w:t>[Filed 2/15/91, Notice 1/9/91—published 3/6/91, effective 4/10/91]</w:t>
      </w:r>
    </w:p>
    <w:p>
      <w:pPr>
        <w:spacing w:before="0" w:after="0"/>
        <w:ind w:left="120"/>
        <w:jc w:val="center"/>
      </w:pPr>
      <w:r>
        <w:rPr>
          <w:rFonts w:ascii="Times New Roman" w:hAnsi="Times New Roman"/>
          <w:b w:val="false"/>
          <w:i w:val="false"/>
          <w:color w:val="000000"/>
          <w:sz w:val="21"/>
        </w:rPr>
        <w:t>[Filed 12/6/91, Notice 10/30/91—published 12/25/91, effective 1/29/92]</w:t>
      </w:r>
    </w:p>
    <w:p>
      <w:pPr>
        <w:spacing w:before="0" w:after="0"/>
        <w:ind w:left="120"/>
        <w:jc w:val="center"/>
      </w:pPr>
      <w:r>
        <w:rPr>
          <w:rFonts w:ascii="Times New Roman" w:hAnsi="Times New Roman"/>
          <w:b w:val="false"/>
          <w:i w:val="false"/>
          <w:color w:val="000000"/>
          <w:sz w:val="21"/>
        </w:rPr>
        <w:t>[Filed 3/12/93, Notice 2/3/93—published 3/31/93, effective 5/5/93]</w:t>
      </w:r>
    </w:p>
    <w:p>
      <w:pPr>
        <w:spacing w:before="0" w:after="0"/>
        <w:ind w:left="120"/>
        <w:jc w:val="center"/>
      </w:pPr>
      <w:r>
        <w:rPr>
          <w:rFonts w:ascii="Times New Roman" w:hAnsi="Times New Roman"/>
          <w:b w:val="false"/>
          <w:i w:val="false"/>
          <w:color w:val="000000"/>
          <w:sz w:val="21"/>
        </w:rPr>
        <w:t>[Filed 1/14/94, Notice 11/10/93—published 2/2/94, effective 3/23/94]</w:t>
      </w:r>
    </w:p>
    <w:p>
      <w:pPr>
        <w:spacing w:before="0" w:after="0"/>
        <w:ind w:left="120"/>
        <w:jc w:val="center"/>
      </w:pPr>
      <w:r>
        <w:rPr>
          <w:rFonts w:ascii="Times New Roman" w:hAnsi="Times New Roman"/>
          <w:b w:val="false"/>
          <w:i w:val="false"/>
          <w:color w:val="000000"/>
          <w:sz w:val="21"/>
        </w:rPr>
        <w:t>[Filed 2/6/95, Notice 12/7/94—published 3/1/95, effective 4/5/95]</w:t>
      </w:r>
    </w:p>
    <w:p>
      <w:pPr>
        <w:spacing w:before="0" w:after="0"/>
        <w:ind w:left="120"/>
        <w:jc w:val="center"/>
      </w:pPr>
      <w:r>
        <w:rPr>
          <w:rFonts w:ascii="Times New Roman" w:hAnsi="Times New Roman"/>
          <w:b w:val="false"/>
          <w:i w:val="false"/>
          <w:color w:val="000000"/>
          <w:sz w:val="21"/>
        </w:rPr>
        <w:t>[Filed 4/5/96, Notice 1/3/96—published 4/24/96, effective 5/29/96]</w:t>
      </w:r>
    </w:p>
    <w:p>
      <w:pPr>
        <w:spacing w:before="0" w:after="0"/>
        <w:ind w:left="120"/>
        <w:jc w:val="center"/>
      </w:pPr>
      <w:r>
        <w:rPr>
          <w:rFonts w:ascii="Times New Roman" w:hAnsi="Times New Roman"/>
          <w:b w:val="false"/>
          <w:i w:val="false"/>
          <w:color w:val="000000"/>
          <w:sz w:val="21"/>
        </w:rPr>
        <w:t>[Filed 9/20/96, Notice 7/31/96—published 10/9/96, effective 11/13/96]</w:t>
      </w:r>
    </w:p>
    <w:p>
      <w:pPr>
        <w:spacing w:before="0" w:after="0"/>
        <w:ind w:left="120"/>
        <w:jc w:val="center"/>
      </w:pPr>
      <w:r>
        <w:rPr>
          <w:rFonts w:ascii="Times New Roman" w:hAnsi="Times New Roman"/>
          <w:b w:val="false"/>
          <w:i w:val="false"/>
          <w:color w:val="000000"/>
          <w:sz w:val="21"/>
        </w:rPr>
        <w:t>[Filed 4/30/98, Notice 12/31/97—published 5/20/98, effective 6/24/98]</w:t>
      </w:r>
    </w:p>
    <w:p>
      <w:pPr>
        <w:spacing w:before="0" w:after="0"/>
        <w:ind w:left="120"/>
        <w:jc w:val="center"/>
      </w:pPr>
      <w:r>
        <w:rPr>
          <w:rFonts w:ascii="Times New Roman" w:hAnsi="Times New Roman"/>
          <w:b w:val="false"/>
          <w:i w:val="false"/>
          <w:color w:val="000000"/>
          <w:sz w:val="21"/>
        </w:rPr>
        <w:t>[Filed 11/12/98, Notice 6/17/98—published 12/2/98, effective 1/6/99]</w:t>
      </w:r>
    </w:p>
    <w:p>
      <w:pPr>
        <w:spacing w:before="0" w:after="0"/>
        <w:ind w:left="120"/>
        <w:jc w:val="center"/>
      </w:pPr>
      <w:r>
        <w:rPr>
          <w:rFonts w:ascii="Times New Roman" w:hAnsi="Times New Roman"/>
          <w:b w:val="false"/>
          <w:i w:val="false"/>
          <w:color w:val="000000"/>
          <w:sz w:val="21"/>
        </w:rPr>
        <w:t>[Filed 11/12/98, Notice 8/12/98—published 12/2/98, effective 1/6/99]</w:t>
      </w:r>
    </w:p>
    <w:p>
      <w:pPr>
        <w:spacing w:before="0" w:after="0"/>
        <w:ind w:left="120"/>
        <w:jc w:val="center"/>
      </w:pPr>
      <w:r>
        <w:rPr>
          <w:rFonts w:ascii="Times New Roman" w:hAnsi="Times New Roman"/>
          <w:b w:val="false"/>
          <w:i w:val="false"/>
          <w:color w:val="000000"/>
          <w:sz w:val="21"/>
        </w:rPr>
        <w:t>[Filed 5/13/99, Notice 2/24/99—published 6/2/99, effective 7/7/99]</w:t>
      </w:r>
    </w:p>
    <w:p>
      <w:pPr>
        <w:spacing w:before="0" w:after="0"/>
        <w:ind w:left="120"/>
        <w:jc w:val="center"/>
      </w:pPr>
      <w:r>
        <w:rPr>
          <w:rFonts w:ascii="Times New Roman" w:hAnsi="Times New Roman"/>
          <w:b w:val="false"/>
          <w:i w:val="false"/>
          <w:color w:val="000000"/>
          <w:sz w:val="21"/>
        </w:rPr>
        <w:t>[Filed 1/12/00, Notice 10/20/99—published 2/9/00, effective 3/15/00]</w:t>
      </w:r>
    </w:p>
    <w:p>
      <w:pPr>
        <w:spacing w:before="0" w:after="0"/>
        <w:ind w:left="120"/>
        <w:jc w:val="center"/>
      </w:pPr>
      <w:r>
        <w:rPr>
          <w:rFonts w:ascii="Times New Roman" w:hAnsi="Times New Roman"/>
          <w:b w:val="false"/>
          <w:i w:val="false"/>
          <w:color w:val="000000"/>
          <w:sz w:val="21"/>
        </w:rPr>
        <w:t>[Filed 9/12/01, Notice 6/27/01—published 10/3/01, effective 11/7/01]</w:t>
      </w:r>
    </w:p>
    <w:p>
      <w:pPr>
        <w:spacing w:before="0" w:after="0"/>
        <w:ind w:left="120"/>
        <w:jc w:val="center"/>
      </w:pPr>
      <w:r>
        <w:rPr>
          <w:rFonts w:ascii="Times New Roman" w:hAnsi="Times New Roman"/>
          <w:b w:val="false"/>
          <w:i w:val="false"/>
          <w:color w:val="000000"/>
          <w:sz w:val="21"/>
        </w:rPr>
        <w:t>[Filed 9/26/02, Notice 6/12/02—published 10/16/02, effective 11/20/02]</w:t>
      </w:r>
    </w:p>
    <w:p>
      <w:pPr>
        <w:spacing w:before="0" w:after="0"/>
        <w:ind w:left="120"/>
        <w:jc w:val="center"/>
      </w:pPr>
      <w:r>
        <w:rPr>
          <w:rFonts w:ascii="Times New Roman" w:hAnsi="Times New Roman"/>
          <w:b w:val="false"/>
          <w:i w:val="false"/>
          <w:color w:val="000000"/>
          <w:sz w:val="21"/>
        </w:rPr>
        <w:t>[Filed 1/30/03, Notice 12/11/02—published 2/19/03, effective 3/26/03]</w:t>
      </w:r>
    </w:p>
    <w:p>
      <w:pPr>
        <w:spacing w:before="0" w:after="0"/>
        <w:ind w:left="120"/>
        <w:jc w:val="center"/>
      </w:pPr>
      <w:r>
        <w:rPr>
          <w:rFonts w:ascii="Times New Roman" w:hAnsi="Times New Roman"/>
          <w:b w:val="false"/>
          <w:i w:val="false"/>
          <w:color w:val="000000"/>
          <w:sz w:val="21"/>
        </w:rPr>
        <w:t>[Filed 7/21/04, Notice 6/9/04—published 8/18/04, effective 9/22/04]</w:t>
      </w:r>
    </w:p>
    <w:p>
      <w:pPr>
        <w:spacing w:before="0" w:after="0"/>
        <w:ind w:left="120"/>
        <w:jc w:val="center"/>
      </w:pPr>
      <w:r>
        <w:rPr>
          <w:rFonts w:ascii="Times New Roman" w:hAnsi="Times New Roman"/>
          <w:b w:val="false"/>
          <w:i w:val="false"/>
          <w:color w:val="000000"/>
          <w:sz w:val="21"/>
        </w:rPr>
        <w:t>[Filed 9/20/05, Notice 7/6/05—published 10/12/05, effective 11/16/05]</w:t>
      </w:r>
    </w:p>
    <w:p>
      <w:pPr>
        <w:spacing w:before="0" w:after="0"/>
        <w:ind w:left="120"/>
        <w:jc w:val="center"/>
      </w:pPr>
      <w:r>
        <w:rPr>
          <w:rFonts w:ascii="Times New Roman" w:hAnsi="Times New Roman"/>
          <w:b w:val="false"/>
          <w:i w:val="false"/>
          <w:color w:val="000000"/>
          <w:sz w:val="21"/>
        </w:rPr>
        <w:t>[Filed 9/20/05, Notice 8/3/05—published 10/12/05, effective 11/16/05]</w:t>
      </w:r>
    </w:p>
    <w:p>
      <w:pPr>
        <w:spacing w:before="0" w:after="0"/>
        <w:ind w:left="120"/>
        <w:jc w:val="center"/>
      </w:pPr>
      <w:r>
        <w:rPr>
          <w:rFonts w:ascii="Times New Roman" w:hAnsi="Times New Roman"/>
          <w:b w:val="false"/>
          <w:i w:val="false"/>
          <w:color w:val="000000"/>
          <w:sz w:val="21"/>
        </w:rPr>
        <w:t>[Filed 11/22/06, Notice 10/11/06—published 12/20/06, effective 1/24/07]</w:t>
      </w:r>
    </w:p>
    <w:p>
      <w:pPr>
        <w:spacing w:before="0" w:after="0"/>
        <w:ind w:left="120"/>
        <w:jc w:val="center"/>
      </w:pPr>
      <w:r>
        <w:rPr>
          <w:rFonts w:ascii="Times New Roman" w:hAnsi="Times New Roman"/>
          <w:b w:val="false"/>
          <w:i w:val="false"/>
          <w:color w:val="000000"/>
          <w:sz w:val="21"/>
        </w:rPr>
        <w:t>[Filed 7/20/07, Notice 4/25/07—published 8/15/07, effective 9/19/07]</w:t>
      </w:r>
    </w:p>
    <w:p>
      <w:pPr>
        <w:spacing w:before="0" w:after="0"/>
        <w:ind w:left="120"/>
        <w:jc w:val="center"/>
      </w:pPr>
      <w:r>
        <w:rPr>
          <w:rFonts w:ascii="Times New Roman" w:hAnsi="Times New Roman"/>
          <w:b w:val="false"/>
          <w:i w:val="false"/>
          <w:color w:val="000000"/>
          <w:sz w:val="21"/>
        </w:rPr>
        <w:t>[Filed 9/21/07, Notice 8/15/07—published 10/10/07, effective 2/11/08]</w:t>
      </w:r>
    </w:p>
    <w:p>
      <w:pPr>
        <w:spacing w:before="0" w:after="0"/>
        <w:ind w:left="120"/>
        <w:jc w:val="center"/>
      </w:pPr>
      <w:r>
        <w:rPr>
          <w:rFonts w:ascii="Times New Roman" w:hAnsi="Times New Roman"/>
          <w:b w:val="false"/>
          <w:i w:val="false"/>
          <w:color w:val="000000"/>
          <w:sz w:val="21"/>
        </w:rPr>
        <w:t>[Filed ARC 7737B</w:t>
      </w:r>
      <w:r>
        <w:rPr>
          <w:rFonts w:ascii="Times New Roman" w:hAnsi="Times New Roman"/>
          <w:b w:val="false"/>
          <w:i w:val="false"/>
          <w:color w:val="000000"/>
          <w:sz w:val="21"/>
        </w:rPr>
        <w:t xml:space="preserve"> (Notice ARC 7545B, IAB 2/11/09)</w:t>
      </w:r>
      <w:r>
        <w:rPr>
          <w:rFonts w:ascii="Times New Roman" w:hAnsi="Times New Roman"/>
          <w:b w:val="false"/>
          <w:i w:val="false"/>
          <w:color w:val="000000"/>
          <w:sz w:val="21"/>
        </w:rPr>
        <w:t>, IAB 5/6/09, effective 6/10/09]</w:t>
      </w:r>
    </w:p>
    <w:p>
      <w:pPr>
        <w:spacing w:before="0" w:after="0"/>
        <w:ind w:left="120"/>
        <w:jc w:val="center"/>
      </w:pPr>
      <w:r>
        <w:rPr>
          <w:rFonts w:ascii="Times New Roman" w:hAnsi="Times New Roman"/>
          <w:b w:val="false"/>
          <w:i w:val="false"/>
          <w:color w:val="000000"/>
          <w:sz w:val="21"/>
        </w:rPr>
        <w:t>[Filed ARC 8638B</w:t>
      </w:r>
      <w:r>
        <w:rPr>
          <w:rFonts w:ascii="Times New Roman" w:hAnsi="Times New Roman"/>
          <w:b w:val="false"/>
          <w:i w:val="false"/>
          <w:color w:val="000000"/>
          <w:sz w:val="21"/>
        </w:rPr>
        <w:t xml:space="preserve"> (Notice ARC 8392B, IAB 12/16/09)</w:t>
      </w:r>
      <w:r>
        <w:rPr>
          <w:rFonts w:ascii="Times New Roman" w:hAnsi="Times New Roman"/>
          <w:b w:val="false"/>
          <w:i w:val="false"/>
          <w:color w:val="000000"/>
          <w:sz w:val="21"/>
        </w:rPr>
        <w:t>, IAB 4/7/10, effective 5/12/10]</w:t>
      </w:r>
    </w:p>
    <w:p>
      <w:pPr>
        <w:spacing w:before="0" w:after="0"/>
        <w:ind w:left="120"/>
        <w:jc w:val="center"/>
      </w:pPr>
      <w:r>
        <w:rPr>
          <w:rFonts w:ascii="Times New Roman" w:hAnsi="Times New Roman"/>
          <w:b w:val="false"/>
          <w:i w:val="false"/>
          <w:color w:val="000000"/>
          <w:sz w:val="21"/>
        </w:rPr>
        <w:t>[Filed ARC 1210C</w:t>
      </w:r>
      <w:r>
        <w:rPr>
          <w:rFonts w:ascii="Times New Roman" w:hAnsi="Times New Roman"/>
          <w:b w:val="false"/>
          <w:i w:val="false"/>
          <w:color w:val="000000"/>
          <w:sz w:val="21"/>
        </w:rPr>
        <w:t xml:space="preserve"> (Notice ARC 0978C, IAB 8/21/13)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1504C</w:t>
      </w:r>
      <w:r>
        <w:rPr>
          <w:rFonts w:ascii="Times New Roman" w:hAnsi="Times New Roman"/>
          <w:b w:val="false"/>
          <w:i w:val="false"/>
          <w:color w:val="000000"/>
          <w:sz w:val="21"/>
        </w:rPr>
        <w:t xml:space="preserve"> (Notice ARC 1282C, IAB 1/8/14)</w:t>
      </w:r>
      <w:r>
        <w:rPr>
          <w:rFonts w:ascii="Times New Roman" w:hAnsi="Times New Roman"/>
          <w:b w:val="false"/>
          <w:i w:val="false"/>
          <w:color w:val="000000"/>
          <w:sz w:val="21"/>
        </w:rPr>
        <w:t>, IAB 6/25/14, effective 7/30/14]</w:t>
      </w:r>
    </w:p>
    <w:p>
      <w:pPr>
        <w:spacing w:before="0" w:after="0"/>
        <w:ind w:left="120"/>
        <w:jc w:val="center"/>
      </w:pPr>
      <w:r>
        <w:rPr>
          <w:rFonts w:ascii="Times New Roman" w:hAnsi="Times New Roman"/>
          <w:b w:val="false"/>
          <w:i w:val="false"/>
          <w:color w:val="000000"/>
          <w:sz w:val="21"/>
        </w:rPr>
        <w:t>[Filed ARC 1624C</w:t>
      </w:r>
      <w:r>
        <w:rPr>
          <w:rFonts w:ascii="Times New Roman" w:hAnsi="Times New Roman"/>
          <w:b w:val="false"/>
          <w:i w:val="false"/>
          <w:color w:val="000000"/>
          <w:sz w:val="21"/>
        </w:rPr>
        <w:t xml:space="preserve"> (Notice ARC 1501C, IAB 6/11/14)</w:t>
      </w:r>
      <w:r>
        <w:rPr>
          <w:rFonts w:ascii="Times New Roman" w:hAnsi="Times New Roman"/>
          <w:b w:val="false"/>
          <w:i w:val="false"/>
          <w:color w:val="000000"/>
          <w:sz w:val="21"/>
        </w:rPr>
        <w:t>, IAB 9/17/14, effective 10/22/14]</w:t>
      </w:r>
    </w:p>
    <w:p>
      <w:pPr>
        <w:spacing w:before="0" w:after="0"/>
        <w:ind w:left="120"/>
        <w:jc w:val="center"/>
      </w:pPr>
      <w:r>
        <w:rPr>
          <w:rFonts w:ascii="Times New Roman" w:hAnsi="Times New Roman"/>
          <w:b w:val="false"/>
          <w:i w:val="false"/>
          <w:color w:val="000000"/>
          <w:sz w:val="21"/>
        </w:rPr>
        <w:t>[Filed Emergency ARC 1985C, IAB 4/29/15, effective 4/10/15]</w:t>
      </w:r>
    </w:p>
    <w:p>
      <w:pPr>
        <w:spacing w:before="0" w:after="0"/>
        <w:ind w:left="120"/>
        <w:jc w:val="center"/>
      </w:pPr>
      <w:r>
        <w:rPr>
          <w:rFonts w:ascii="Times New Roman" w:hAnsi="Times New Roman"/>
          <w:b w:val="false"/>
          <w:i w:val="false"/>
          <w:color w:val="000000"/>
          <w:sz w:val="21"/>
        </w:rPr>
        <w:t>[Filed ARC 2674C</w:t>
      </w:r>
      <w:r>
        <w:rPr>
          <w:rFonts w:ascii="Times New Roman" w:hAnsi="Times New Roman"/>
          <w:b w:val="false"/>
          <w:i w:val="false"/>
          <w:color w:val="000000"/>
          <w:sz w:val="21"/>
        </w:rPr>
        <w:t xml:space="preserve"> (Notice ARC 2480C, IAB 3/30/16)</w:t>
      </w:r>
      <w:r>
        <w:rPr>
          <w:rFonts w:ascii="Times New Roman" w:hAnsi="Times New Roman"/>
          <w:b w:val="false"/>
          <w:i w:val="false"/>
          <w:color w:val="000000"/>
          <w:sz w:val="21"/>
        </w:rPr>
        <w:t>, IAB 8/17/16, effective 9/21/16]</w:t>
      </w:r>
    </w:p>
    <w:p>
      <w:pPr>
        <w:spacing w:before="0" w:after="0"/>
        <w:ind w:left="120"/>
        <w:jc w:val="center"/>
      </w:pPr>
      <w:r>
        <w:rPr>
          <w:rFonts w:ascii="Times New Roman" w:hAnsi="Times New Roman"/>
          <w:b w:val="false"/>
          <w:i w:val="false"/>
          <w:color w:val="000000"/>
          <w:sz w:val="21"/>
        </w:rPr>
        <w:t>[Filed ARC 3332C</w:t>
      </w:r>
      <w:r>
        <w:rPr>
          <w:rFonts w:ascii="Times New Roman" w:hAnsi="Times New Roman"/>
          <w:b w:val="false"/>
          <w:i w:val="false"/>
          <w:color w:val="000000"/>
          <w:sz w:val="21"/>
        </w:rPr>
        <w:t xml:space="preserve"> (Notice ARC 3170C, IAB 7/5/17)</w:t>
      </w:r>
      <w:r>
        <w:rPr>
          <w:rFonts w:ascii="Times New Roman" w:hAnsi="Times New Roman"/>
          <w:b w:val="false"/>
          <w:i w:val="false"/>
          <w:color w:val="000000"/>
          <w:sz w:val="21"/>
        </w:rPr>
        <w:t>, IAB 9/27/17, effective 11/1/17]</w:t>
      </w:r>
    </w:p>
    <w:p>
      <w:pPr>
        <w:spacing w:before="0" w:after="0"/>
        <w:ind w:left="120"/>
        <w:jc w:val="center"/>
      </w:pPr>
      <w:r>
        <w:rPr>
          <w:rFonts w:ascii="Times New Roman" w:hAnsi="Times New Roman"/>
          <w:b w:val="false"/>
          <w:i w:val="false"/>
          <w:color w:val="000000"/>
          <w:sz w:val="21"/>
        </w:rPr>
        <w:t>[Filed ARC 5563C</w:t>
      </w:r>
      <w:r>
        <w:rPr>
          <w:rFonts w:ascii="Times New Roman" w:hAnsi="Times New Roman"/>
          <w:b w:val="false"/>
          <w:i w:val="false"/>
          <w:color w:val="000000"/>
          <w:sz w:val="21"/>
        </w:rPr>
        <w:t xml:space="preserve"> (Notice ARC 5355C, IAB 12/30/20)</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7757C</w:t>
      </w:r>
      <w:r>
        <w:rPr>
          <w:rFonts w:ascii="Times New Roman" w:hAnsi="Times New Roman"/>
          <w:b w:val="false"/>
          <w:i w:val="false"/>
          <w:color w:val="000000"/>
          <w:sz w:val="21"/>
        </w:rPr>
        <w:t xml:space="preserve"> (Notice ARC 7436C,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0232D</w:t>
      </w:r>
      <w:r>
        <w:rPr>
          <w:rFonts w:ascii="Times New Roman" w:hAnsi="Times New Roman"/>
          <w:b w:val="false"/>
          <w:i w:val="false"/>
          <w:color w:val="000000"/>
          <w:sz w:val="21"/>
        </w:rPr>
        <w:t xml:space="preserve"> (Notice ARC 0070D, IAB 2/18/26)</w:t>
      </w:r>
      <w:r>
        <w:rPr>
          <w:rFonts w:ascii="Times New Roman" w:hAnsi="Times New Roman"/>
          <w:b w:val="false"/>
          <w:i w:val="false"/>
          <w:color w:val="000000"/>
          <w:sz w:val="21"/>
        </w:rPr>
        <w:t>, IAB 4/29/26, effective 6/3/26]</w:t>
      </w:r>
    </w:p>
    <w:p>
      <w:pPr>
        <w:spacing w:before="0" w:after="0"/>
        <w:ind w:left="120"/>
        <w:jc w:val="center"/>
      </w:pPr>
      <w:r>
        <w:rPr>
          <w:rFonts w:ascii="Times New Roman" w:hAnsi="Times New Roman"/>
          <w:b w:val="false"/>
          <w:i w:val="false"/>
          <w:color w:val="000000"/>
          <w:sz w:val="21"/>
        </w:rPr>
        <w:t>[Editorial change: IAC Supplement 6/24/26]</w:t>
      </w:r>
    </w:p>
    <w:sectPr>
      <w:footerReference r:id="rId3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4A.pdf" Type="http://schemas.openxmlformats.org/officeDocument/2006/relationships/hyperlink" Id="rId5"/>
    <Relationship TargetMode="External" Target="http://www.ncarb.org" Type="http://schemas.openxmlformats.org/officeDocument/2006/relationships/hyperlink" Id="rId6"/>
    <Relationship TargetMode="External" Target="https://www.legis.iowa.gov/docs/iac/rule/193B.2.2.pdf" Type="http://schemas.openxmlformats.org/officeDocument/2006/relationships/hyperlink" Id="rId7"/>
    <Relationship TargetMode="External" Target="https://www.legis.iowa.gov/docs/iac/rule/193B.2.2.pdf" Type="http://schemas.openxmlformats.org/officeDocument/2006/relationships/hyperlink" Id="rId8"/>
    <Relationship TargetMode="External" Target="https://www.legis.iowa.gov/docs/iac/chapter/481.501.pdf" Type="http://schemas.openxmlformats.org/officeDocument/2006/relationships/hyperlink" Id="rId9"/>
    <Relationship TargetMode="External" Target="https://www.legis.iowa.gov/docs/iac/chapter/481.7.pdf" Type="http://schemas.openxmlformats.org/officeDocument/2006/relationships/hyperlink" Id="rId10"/>
    <Relationship TargetMode="External" Target="https://www.legis.iowa.gov/docs/iac/rule/193B.2.2.pdf" Type="http://schemas.openxmlformats.org/officeDocument/2006/relationships/hyperlink" Id="rId11"/>
    <Relationship TargetMode="External" Target="https://www.legis.iowa.gov/docs/iac/rule/481.1062.4.pdf" Type="http://schemas.openxmlformats.org/officeDocument/2006/relationships/hyperlink" Id="rId12"/>
    <Relationship TargetMode="External" Target="https://www.legis.iowa.gov/docs/iac/rule/193.7.40.pdf" Type="http://schemas.openxmlformats.org/officeDocument/2006/relationships/hyperlink" Id="rId13"/>
    <Relationship TargetMode="External" Target="https://www.legis.iowa.gov/docs/iac/chapter/481.506.pdf" Type="http://schemas.openxmlformats.org/officeDocument/2006/relationships/hyperlink" Id="rId14"/>
    <Relationship TargetMode="External" Target="https://www.legis.iowa.gov/docs/iac/chapter/481.506.pdf" Type="http://schemas.openxmlformats.org/officeDocument/2006/relationships/hyperlink" Id="rId15"/>
    <Relationship TargetMode="External" Target="https://www.legis.iowa.gov/docs/iac/rule/481.506.35.pdf" Type="http://schemas.openxmlformats.org/officeDocument/2006/relationships/hyperlink" Id="rId16"/>
    <Relationship TargetMode="External" Target="https://www.legis.iowa.gov/docs/iac/rule/481.1063.3.pdf" Type="http://schemas.openxmlformats.org/officeDocument/2006/relationships/hyperlink" Id="rId17"/>
    <Relationship TargetMode="External" Target="https://www.legis.iowa.gov/docs/iac/rule/481.506.32.pdf" Type="http://schemas.openxmlformats.org/officeDocument/2006/relationships/hyperlink" Id="rId18"/>
    <Relationship TargetMode="External" Target="https://www.legis.iowa.gov/docs/ico/chapter/544A.15.pdf" Type="http://schemas.openxmlformats.org/officeDocument/2006/relationships/hyperlink" Id="rId19"/>
    <Relationship TargetMode="External" Target="https://www.legis.iowa.gov/docs/ico/chapter/544A.16.pdf" Type="http://schemas.openxmlformats.org/officeDocument/2006/relationships/hyperlink" Id="rId20"/>
    <Relationship TargetMode="External" Target="https://www.legis.iowa.gov/docs/iac/rule/481.1062.5.pdf" Type="http://schemas.openxmlformats.org/officeDocument/2006/relationships/hyperlink" Id="rId21"/>
    <Relationship TargetMode="External" Target="https://www.legis.iowa.gov/docs/iac/rule/481.1062.9.pdf" Type="http://schemas.openxmlformats.org/officeDocument/2006/relationships/hyperlink" Id="rId22"/>
    <Relationship TargetMode="External" Target="https://www.legis.iowa.gov/docs/ico/chapter/544A.15.pdf" Type="http://schemas.openxmlformats.org/officeDocument/2006/relationships/hyperlink" Id="rId23"/>
    <Relationship TargetMode="External" Target="https://www.legis.iowa.gov/docs/ico/chapter/544A.15.pdf" Type="http://schemas.openxmlformats.org/officeDocument/2006/relationships/hyperlink" Id="rId24"/>
    <Relationship TargetMode="External" Target="https://www.legis.iowa.gov/docs/ico/chapter/544A.16.pdf" Type="http://schemas.openxmlformats.org/officeDocument/2006/relationships/hyperlink" Id="rId25"/>
    <Relationship TargetMode="External" Target="https://www.legis.iowa.gov/docs/iac/chapter/481.1063.pdf" Type="http://schemas.openxmlformats.org/officeDocument/2006/relationships/hyperlink" Id="rId26"/>
    <Relationship TargetMode="External" Target="https://www.legis.iowa.gov/docs/iac/chapter/481.1063.pdf" Type="http://schemas.openxmlformats.org/officeDocument/2006/relationships/hyperlink" Id="rId27"/>
    <Relationship TargetMode="External" Target="https://www.legis.iowa.gov/docs/ico/chapter/544A.16.pdf" Type="http://schemas.openxmlformats.org/officeDocument/2006/relationships/hyperlink" Id="rId28"/>
    <Relationship TargetMode="External" Target="https://www.legis.iowa.gov/docs/ico/chapter/544A.16.pdf" Type="http://schemas.openxmlformats.org/officeDocument/2006/relationships/hyperlink" Id="rId29"/>
    <Relationship TargetMode="External" Target="https://www.legis.iowa.gov/docs/ico/chapter/544A.pdf" Type="http://schemas.openxmlformats.org/officeDocument/2006/relationships/hyperlink" Id="rId30"/>
    <Relationship TargetMode="External" Target="https://www.legis.iowa.gov/docs/iac/rule/481.500.6.pdf" Type="http://schemas.openxmlformats.org/officeDocument/2006/relationships/hyperlink" Id="rId31"/>
    <Relationship TargetMode="External" Target="https://www.legis.iowa.gov/docs/ico/chapter/544A.pdf" Type="http://schemas.openxmlformats.org/officeDocument/2006/relationships/hyperlink" Id="rId32"/>
    <Relationship TargetMode="External" Target="https://www.legis.iowa.gov/docs/ico/chapter/544A.pdf" Type="http://schemas.openxmlformats.org/officeDocument/2006/relationships/hyperlink" Id="rId33"/>
    <Relationship TargetMode="External" Target="https://www.legis.iowa.gov/docs/ico/chapter/17A.pdf" Type="http://schemas.openxmlformats.org/officeDocument/2006/relationships/hyperlink" Id="rId34"/>
    <Relationship Target="footer.xml" Type="http://schemas.openxmlformats.org/officeDocument/2006/relationships/footer" Id="rId3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