
<file path=[Content_Types].xml><?xml version="1.0" encoding="utf-8"?>
<Types xmlns="http://schemas.openxmlformats.org/package/2006/content-types">
  <Default Extension="rels" ContentType="application/vnd.openxmlformats-package.relationships+xml"/>
  <Override ContentType="application/vnd.openxmlformats-officedocument.extended-properties+xml" PartName="/docProps/app.xml"/>
  <Override ContentType="application/vnd.openxmlformats-package.core-properties+xml" PartName="/docProps/core.xml"/>
  <Override ContentType="application/vnd.openxmlformats-officedocument.wordprocessingml.document.main+xml" PartName="/word/document.xml"/>
  <Override ContentType="application/vnd.openxmlformats-officedocument.wordprocessingml.footer+xml" PartName="/word/footer.xml"/>
  <Override ContentType="application/vnd.openxmlformats-officedocument.wordprocessingml.numbering+xml" PartName="/word/numbering.xml"/>
  <Override ContentType="application/vnd.openxmlformats-officedocument.wordprocessingml.settings+xml" PartName="/word/settings.xml"/>
  <Override ContentType="application/vnd.openxmlformats-officedocument.wordprocessingml.styles+xml" PartName="/word/styles.xml"/>
</Types>
</file>

<file path=_rels/.rels><?xml version="1.0" encoding="UTF-8" standalone="yes"?>
<Relationships xmlns="http://schemas.openxmlformats.org/package/2006/relationships">
    <Relationship Target="word/document.xml" Type="http://schemas.openxmlformats.org/officeDocument/2006/relationships/officeDocument" Id="rId1"/>
    <Relationship Target="docProps/core.xml" Type="http://schemas.openxmlformats.org/package/2006/relationships/metadata/core-properties" Id="rId2"/>
    <Relationship Target="docProps/app.xml" Type="http://schemas.openxmlformats.org/officeDocument/2006/relationships/extended-properties" Id="rId3"/>
</Relationships>

</file>

<file path=word/document.xml><?xml version="1.0" encoding="utf-8"?>
<w:document xmlns:w="http://schemas.openxmlformats.org/wordprocessingml/2006/main" xmlns:m="http://schemas.openxmlformats.org/officeDocument/2006/math" xmlns:w14="http://schemas.microsoft.com/office/word/2010/wordml" xmlns:r="http://schemas.openxmlformats.org/officeDocument/2006/relationships" xmlns:wp="http://schemas.openxmlformats.org/drawingml/2006/wordprocessingDrawing" xmlns:a="http://schemas.openxmlformats.org/drawingml/2006/main" xmlns:wp14="http://schemas.microsoft.com/office/word/2010/wordprocessingDrawing" xmlns:w15="http://schemas.microsoft.com/office/word/2012/wordml" xmlns:mc="http://schemas.openxmlformats.org/markup-compatibility/2006" xmlns:a14="http://schemas.microsoft.com/office/drawing/2010/main" xmlns:sl="http://schemas.openxmlformats.org/schemaLibrary/2006/main" xmlns:wne="http://schemas.microsoft.com/office/word/2006/wordml" xmlns:c="http://schemas.openxmlformats.org/drawingml/2006/chart" xmlns:cdr="http://schemas.openxmlformats.org/drawingml/2006/chartDrawing" xmlns:c14="http://schemas.microsoft.com/office/drawing/2007/8/2/chart" xmlns:dgm="http://schemas.openxmlformats.org/drawingml/2006/diagram" xmlns:pic="http://schemas.openxmlformats.org/drawingml/2006/picture" xmlns:xdr="http://schemas.openxmlformats.org/drawingml/2006/spreadsheetDrawing" xmlns:dsp="http://schemas.microsoft.com/office/drawing/2008/diagram" xmlns:xvml="urn:schemas-microsoft-com:office:excel" xmlns:o="urn:schemas-microsoft-com:office:office" xmlns:v="urn:schemas-microsoft-com:vml" xmlns:w10="urn:schemas-microsoft-com:office:word" xmlns:pvml="urn:schemas-microsoft-com:office:powerpoint" xmlns:cppr="http://schemas.microsoft.com/office/2006/coverPageProps" xmlns:odx="http://opendope.org/xpaths" xmlns:odc="http://opendope.org/conditions" xmlns:odq="http://opendope.org/questions" xmlns:oda="http://opendope.org/answers" xmlns:odi="http://opendope.org/components" xmlns:odgm="http://opendope.org/SmartArt/DataHierarchy" xmlns:b="http://schemas.openxmlformats.org/officeDocument/2006/bibliography" xmlns:msink="http://schemas.microsoft.com/ink/2010/main" xmlns:cdr14="http://schemas.microsoft.com/office/drawing/2010/chartDrawing" xmlns:c15="http://schemas.microsoft.com/office/drawing/2012/chart" xmlns:cs="http://schemas.microsoft.com/office/drawing/2012/chartStyle" xmlns:ns38="http://www.w3.org/1998/Math/MathML" xmlns:ns39="http://www.w3.org/2003/InkML" xmlns:a13cmd="http://schemas.microsoft.com/office/drawing/2013/main/command" xmlns:cx="http://schemas.microsoft.com/office/drawing/2014/chartex" xmlns:c16="http://schemas.microsoft.com/office/drawing/2014/chart" xmlns:dgm1611="http://schemas.microsoft.com/office/drawing/2016/11/diagram" xmlns:c173="http://schemas.microsoft.com/office/drawing/2017/03/chart" xmlns:am3d="http://schemas.microsoft.com/office/drawing/2017/model3d" xmlns:an18="http://schemas.microsoft.com/office/drawing/2018/animation" xmlns:anam3d="http://schemas.microsoft.com/office/drawing/2018/animation/model3d" xmlns:iact="http://schemas.microsoft.com/office/powerpoint/2014/inkAction" xmlns:thm15="http://schemas.microsoft.com/office/thememl/2012/main" xmlns:wps="http://schemas.microsoft.com/office/word/2010/wordprocessingShape" xmlns:wpc="http://schemas.microsoft.com/office/word/2010/wordprocessingCanvas" xmlns:wpg="http://schemas.microsoft.com/office/word/2010/wordprocessingGroup" xmlns:w16se="http://schemas.microsoft.com/office/word/2015/wordml/symex" xmlns:w16cid="http://schemas.microsoft.com/office/word/2016/wordml/cid" xmlns:wetp="http://schemas.microsoft.com/office/webextensions/taskpanes/2010/11" xmlns:we="http://schemas.microsoft.com/office/webextensions/webextension/2010/11" xmlns:comp="http://schemas.openxmlformats.org/drawingml/2006/compatibility" xmlns:lc="http://schemas.openxmlformats.org/drawingml/2006/lockedCanvas" xmlns:dgm14="http://schemas.microsoft.com/office/drawing/2010/diagram" xmlns:a15="http://schemas.microsoft.com/office/drawing/2012/main" xmlns:pic14="http://schemas.microsoft.com/office/drawing/2010/picture" xmlns:c16ac="http://schemas.microsoft.com/office/drawing/2014/chart/ac" xmlns:a16="http://schemas.microsoft.com/office/drawing/2014/main" xmlns:a1611="http://schemas.microsoft.com/office/drawing/2016/11/main" xmlns:dgm1612="http://schemas.microsoft.com/office/drawing/2016/12/diagram" xmlns:a16svg="http://schemas.microsoft.com/office/drawing/2016/SVG/main" xmlns:adec="http://schemas.microsoft.com/office/drawing/2017/decorative" xmlns:a18hc="http://schemas.microsoft.com/office/drawing/2018/hyperlinkcolor" xmlns:wp15="http://schemas.microsoft.com/office/word/2012/wordprocessingDrawing">
  <w:body>
    <!-- Created by docx4j 11.5.9 (Apache licensed) using REFERENCE JAXB in Eclipse Adoptium Java 21.0.9 on Windows Server 2022 -->
    <w:p>
      <w:pPr>
        <w:spacing w:before="0" w:after="0"/>
        <w:ind w:left="120"/>
        <w:jc w:val="both"/>
      </w:pPr>
    </w:p>
    <w:p>
      <w:pPr>
        <w:pBdr>
          <w:bottom w:space="3"/>
        </w:pBdr>
        <w:spacing w:before="0" w:after="0"/>
        <w:ind w:left="120"/>
        <w:jc w:val="center"/>
      </w:pPr>
      <w:r>
        <w:rPr>
          <w:rFonts w:ascii="Times New Roman" w:hAnsi="Times New Roman"/>
          <w:b w:val="false"/>
          <w:i w:val="false"/>
          <w:color w:val="000000"/>
          <w:sz w:val="16"/>
        </w:rPr>
        <w:t xml:space="preserve"> </w:t>
      </w:r>
      <w:r>
        <w:rPr>
          <w:rFonts w:ascii="Times New Roman" w:hAnsi="Times New Roman"/>
          <w:b w:val="false"/>
          <w:i/>
          <w:color w:val="000000"/>
          <w:sz w:val="16"/>
        </w:rPr>
        <w:t>ARCHITECTURAL EXAMINING BOARD</w:t>
      </w:r>
      <w:r>
        <w:rPr>
          <w:rFonts w:ascii="Times New Roman" w:hAnsi="Times New Roman"/>
          <w:b w:val="false"/>
          <w:i w:val="false"/>
          <w:color w:val="000000"/>
          <w:sz w:val="16"/>
        </w:rPr>
        <w:t xml:space="preserve"> </w:t>
      </w:r>
    </w:p>
    <w:p>
      <w:pPr>
        <w:spacing w:before="0" w:after="0"/>
        <w:ind w:left="120"/>
        <w:jc w:val="center"/>
      </w:pPr>
      <w:r>
        <w:rPr>
          <w:rFonts w:ascii="Times New Roman" w:hAnsi="Times New Roman"/>
          <w:b w:val="false"/>
          <w:i w:val="false"/>
          <w:color w:val="000000"/>
          <w:sz w:val="21"/>
        </w:rPr>
        <w:t xml:space="preserve">CHAPTER </w:t>
      </w:r>
      <w:r>
        <w:rPr>
          <w:rFonts w:ascii="Times New Roman" w:hAnsi="Times New Roman"/>
          <w:b w:val="false"/>
          <w:i w:val="false"/>
          <w:color w:val="000000"/>
          <w:sz w:val="21"/>
        </w:rPr>
        <w:t>1061</w:t>
      </w:r>
    </w:p>
    <w:p>
      <w:pPr>
        <w:spacing w:before="0" w:after="0"/>
        <w:ind w:left="120"/>
        <w:jc w:val="center"/>
      </w:pPr>
      <w:r>
        <w:rPr>
          <w:rFonts w:ascii="Times New Roman" w:hAnsi="Times New Roman"/>
          <w:b w:val="false"/>
          <w:i w:val="false"/>
          <w:color w:val="000000"/>
          <w:sz w:val="21"/>
        </w:rPr>
        <w:t>DESCRIPTION OF ORGANIZATION</w:t>
      </w:r>
    </w:p>
    <w:p>
      <w:pPr>
        <w:spacing w:before="0" w:after="0"/>
        <w:ind w:left="120"/>
        <w:jc w:val="center"/>
      </w:pPr>
      <w:r>
        <w:rPr>
          <w:rFonts w:ascii="Times New Roman" w:hAnsi="Times New Roman"/>
          <w:b w:val="false"/>
          <w:i w:val="false"/>
          <w:color w:val="000000"/>
          <w:sz w:val="14"/>
        </w:rPr>
        <w:t>[Prior to 7/13/88, see Architectural Examiners, Board of[80]]</w:t>
      </w:r>
    </w:p>
    <w:p>
      <w:pPr>
        <w:spacing w:before="0" w:after="0"/>
        <w:ind w:left="120"/>
        <w:jc w:val="center"/>
      </w:pPr>
      <w:r>
        <w:rPr>
          <w:rFonts w:ascii="Times New Roman" w:hAnsi="Times New Roman"/>
          <w:b w:val="false"/>
          <w:i w:val="false"/>
          <w:color w:val="000000"/>
          <w:sz w:val="14"/>
        </w:rPr>
        <w:t>[Prior to 6/24/26, see Architectural Examining Board[193B] Ch 1]</w:t>
      </w:r>
    </w:p>
    <w:p>
      <w:pPr>
        <w:pBdr>
          <w:top w:space="10"/>
        </w:pBdr>
        <w:spacing w:before="0" w:after="0"/>
        <w:ind w:left="120"/>
        <w:jc w:val="center"/>
      </w:pPr>
      <w:r>
        <w:rPr>
          <w:rFonts w:ascii="Times New Roman" w:hAnsi="Times New Roman"/>
          <w:b w:val="false"/>
          <w:i w:val="false"/>
          <w:color w:val="000000"/>
          <w:sz w:val="22"/>
        </w:rPr>
        <w:t xml:space="preserve">Chapter rescission date pursuant to Iowa Code section </w:t>
      </w:r>
      <w:hyperlink r:id="rId4">
        <w:r>
          <w:rPr>
            <w:rStyle w:val="Hyperlink"/>
            <w:rFonts w:ascii="Times New Roman" w:hAnsi="Times New Roman"/>
            <w:b w:val="false"/>
            <w:i w:val="false"/>
            <w:color w:val="000000"/>
            <w:sz w:val="22"/>
          </w:rPr>
          <w:t>17A.7</w:t>
        </w:r>
      </w:hyperlink>
      <w:r>
        <w:rPr>
          <w:rFonts w:ascii="Times New Roman" w:hAnsi="Times New Roman"/>
          <w:b w:val="false"/>
          <w:i w:val="false"/>
          <w:color w:val="000000"/>
          <w:sz w:val="22"/>
        </w:rPr>
        <w:t xml:space="preserve">: </w:t>
      </w:r>
      <w:r>
        <w:rPr>
          <w:rFonts w:ascii="Times New Roman" w:hAnsi="Times New Roman"/>
          <w:b w:val="false"/>
          <w:i w:val="false"/>
          <w:color w:val="000000"/>
          <w:sz w:val="22"/>
        </w:rPr>
        <w:t>5/22/29</w:t>
      </w:r>
    </w:p>
    <w:p>
      <w:pPr>
        <w:spacing w:before="0" w:after="0"/>
        <w:ind w:left="120"/>
        <w:jc w:val="both"/>
      </w:pPr>
      <w:r>
        <w:rPr>
          <w:rFonts w:ascii="Times New Roman" w:hAnsi="Times New Roman"/>
          <w:b/>
          <w:i w:val="false"/>
          <w:color w:val="000000"/>
          <w:sz w:val="22"/>
        </w:rPr>
        <w:t>481—1061.1</w:t>
      </w:r>
      <w:r>
        <w:rPr>
          <w:rFonts w:ascii="Times New Roman" w:hAnsi="Times New Roman"/>
          <w:b/>
          <w:i w:val="false"/>
          <w:color w:val="000000"/>
          <w:sz w:val="22"/>
        </w:rPr>
        <w:t xml:space="preserve">(544A,17A) </w:t>
      </w:r>
      <w:r>
        <w:rPr>
          <w:rFonts w:ascii="Times New Roman" w:hAnsi="Times New Roman"/>
          <w:b/>
          <w:i w:val="false"/>
          <w:color w:val="000000"/>
          <w:sz w:val="22"/>
        </w:rPr>
        <w:t xml:space="preserve">Duties. </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1061.1(1)</w:t>
      </w:r>
      <w:r>
        <w:rPr>
          <w:rFonts w:ascii="Times New Roman" w:hAnsi="Times New Roman"/>
          <w:b w:val="false"/>
          <w:i w:val="false"/>
          <w:color w:val="000000"/>
          <w:sz w:val="22"/>
        </w:rPr>
        <w:t> </w:t>
      </w:r>
      <w:r>
        <w:rPr>
          <w:rFonts w:ascii="Times New Roman" w:hAnsi="Times New Roman"/>
          <w:b w:val="false"/>
          <w:i w:val="false"/>
          <w:color w:val="000000"/>
          <w:sz w:val="22"/>
        </w:rPr>
        <w:t xml:space="preserve">The purpose of the architectural examining board is to administer and enforce the provisions of Iowa Code chapter </w:t>
      </w:r>
      <w:hyperlink r:id="rId5">
        <w:r>
          <w:rPr>
            <w:rStyle w:val="Hyperlink"/>
            <w:rFonts w:ascii="Times New Roman" w:hAnsi="Times New Roman"/>
            <w:b w:val="false"/>
            <w:i w:val="false"/>
            <w:color w:val="000000"/>
            <w:sz w:val="22"/>
          </w:rPr>
          <w:t>544A</w:t>
        </w:r>
      </w:hyperlink>
      <w:r>
        <w:rPr>
          <w:rFonts w:ascii="Times New Roman" w:hAnsi="Times New Roman"/>
          <w:b w:val="false"/>
          <w:i w:val="false"/>
          <w:color w:val="000000"/>
          <w:sz w:val="22"/>
        </w:rPr>
        <w:t xml:space="preserve"> with regard to the practice of architecture in the state of Iowa, including the examining of candidates, issuing licenses to practice architecture, assuring continuing competency through continued education, investigating violations and infractions of the architecture law, disciplining licensees, and imposing civil penalties against nonlicensees. To this end, the board has promulgated these rules to clarify the board’s intent and procedures.</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1061.1(2)</w:t>
      </w:r>
      <w:r>
        <w:rPr>
          <w:rFonts w:ascii="Times New Roman" w:hAnsi="Times New Roman"/>
          <w:b w:val="false"/>
          <w:i w:val="false"/>
          <w:color w:val="000000"/>
          <w:sz w:val="22"/>
        </w:rPr>
        <w:t> </w:t>
      </w:r>
      <w:r>
        <w:rPr>
          <w:rFonts w:ascii="Times New Roman" w:hAnsi="Times New Roman"/>
          <w:b w:val="false"/>
          <w:i w:val="false"/>
          <w:color w:val="000000"/>
          <w:sz w:val="22"/>
        </w:rPr>
        <w:t xml:space="preserve">The primary mission of the board is to protect the public interest. All board rules foster the guiding policies and principles described in Iowa Code section </w:t>
      </w:r>
      <w:hyperlink r:id="rId6">
        <w:r>
          <w:rPr>
            <w:rStyle w:val="Hyperlink"/>
            <w:rFonts w:ascii="Times New Roman" w:hAnsi="Times New Roman"/>
            <w:b w:val="false"/>
            <w:i w:val="false"/>
            <w:color w:val="000000"/>
            <w:sz w:val="22"/>
          </w:rPr>
          <w:t>544A.5</w:t>
        </w:r>
      </w:hyperlink>
      <w:r>
        <w:rPr>
          <w:rFonts w:ascii="Times New Roman" w:hAnsi="Times New Roman"/>
          <w:b w:val="false"/>
          <w:i w:val="false"/>
          <w:color w:val="000000"/>
          <w:sz w:val="22"/>
        </w:rPr>
        <w:t>. The board and its licensees strive at all times to protect the public interest by promoting the highest standards of architecture.</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1061.1(3)</w:t>
      </w:r>
      <w:r>
        <w:rPr>
          <w:rFonts w:ascii="Times New Roman" w:hAnsi="Times New Roman"/>
          <w:b w:val="false"/>
          <w:i w:val="false"/>
          <w:color w:val="000000"/>
          <w:sz w:val="22"/>
        </w:rPr>
        <w:t> </w:t>
      </w:r>
      <w:r>
        <w:rPr>
          <w:rFonts w:ascii="Times New Roman" w:hAnsi="Times New Roman"/>
          <w:b w:val="false"/>
          <w:i w:val="false"/>
          <w:color w:val="000000"/>
          <w:sz w:val="22"/>
        </w:rPr>
        <w:t>The board maintains a roster of all architects authorized to practice architecture in the state.</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1061.1(4)</w:t>
      </w:r>
      <w:r>
        <w:rPr>
          <w:rFonts w:ascii="Times New Roman" w:hAnsi="Times New Roman"/>
          <w:b w:val="false"/>
          <w:i w:val="false"/>
          <w:color w:val="000000"/>
          <w:sz w:val="22"/>
        </w:rPr>
        <w:t> </w:t>
      </w:r>
      <w:r>
        <w:rPr>
          <w:rFonts w:ascii="Times New Roman" w:hAnsi="Times New Roman"/>
          <w:b w:val="false"/>
          <w:i w:val="false"/>
          <w:color w:val="000000"/>
          <w:sz w:val="22"/>
        </w:rPr>
        <w:t>Chairperson. The chairperson presides at all meetings, appoints all committees, and otherwise performs all duties pertaining to the office of the chairperson.</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1061.1(5)</w:t>
      </w:r>
      <w:r>
        <w:rPr>
          <w:rFonts w:ascii="Times New Roman" w:hAnsi="Times New Roman"/>
          <w:b w:val="false"/>
          <w:i w:val="false"/>
          <w:color w:val="000000"/>
          <w:sz w:val="22"/>
        </w:rPr>
        <w:t> </w:t>
      </w:r>
      <w:r>
        <w:rPr>
          <w:rFonts w:ascii="Times New Roman" w:hAnsi="Times New Roman"/>
          <w:b w:val="false"/>
          <w:i w:val="false"/>
          <w:color w:val="000000"/>
          <w:sz w:val="22"/>
        </w:rPr>
        <w:t>Vice chairperson. The vice chairperson, in the absence or incapacity of the chairperson, exercises the duties and possesses the powers of the chairperson.</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1061.1(6)</w:t>
      </w:r>
      <w:r>
        <w:rPr>
          <w:rFonts w:ascii="Times New Roman" w:hAnsi="Times New Roman"/>
          <w:b w:val="false"/>
          <w:i w:val="false"/>
          <w:color w:val="000000"/>
          <w:sz w:val="22"/>
        </w:rPr>
        <w:t> </w:t>
      </w:r>
      <w:r>
        <w:rPr>
          <w:rFonts w:ascii="Times New Roman" w:hAnsi="Times New Roman"/>
          <w:b w:val="false"/>
          <w:i w:val="false"/>
          <w:color w:val="000000"/>
          <w:sz w:val="22"/>
        </w:rPr>
        <w:t xml:space="preserve">Board administrator. The department of inspections, appeals, and licensing may employ a board administrator who will maintain all necessary records of the board and perform all duties in connection with the operation of the board office. The board administrator determines when the legal requirements for licensure have been satisfied with regard to issuance of certificates, licenses or registrations, and the board administrator submits to the board any questionable application. </w:t>
      </w:r>
    </w:p>
    <w:p>
      <w:pPr>
        <w:spacing w:before="0" w:after="0" w:line="240"/>
        <w:ind w:left="120"/>
        <w:jc w:val="both"/>
      </w:pPr>
      <w:r>
        <w:rPr>
          <w:rFonts w:ascii="Times New Roman" w:hAnsi="Times New Roman"/>
          <w:b w:val="false"/>
          <w:i w:val="false"/>
          <w:color w:val="000000"/>
          <w:sz w:val="16"/>
        </w:rPr>
        <w:t>[</w:t>
      </w:r>
      <w:r>
        <w:rPr>
          <w:rFonts w:ascii="Times New Roman" w:hAnsi="Times New Roman"/>
          <w:b/>
          <w:i w:val="false"/>
          <w:color w:val="000000"/>
          <w:sz w:val="16"/>
        </w:rPr>
        <w:t>ARC 7756C</w:t>
      </w:r>
      <w:r>
        <w:rPr>
          <w:rFonts w:ascii="Times New Roman" w:hAnsi="Times New Roman"/>
          <w:b w:val="false"/>
          <w:i w:val="false"/>
          <w:color w:val="000000"/>
          <w:sz w:val="16"/>
        </w:rPr>
        <w:t>, IAB 4/17/24, effective 5/22/24</w:t>
      </w:r>
      <w:r>
        <w:rPr>
          <w:rFonts w:ascii="Times New Roman" w:hAnsi="Times New Roman"/>
          <w:b w:val="false"/>
          <w:i w:val="false"/>
          <w:color w:val="000000"/>
          <w:sz w:val="16"/>
        </w:rPr>
        <w:t xml:space="preserve">; </w:t>
      </w:r>
      <w:r>
        <w:rPr>
          <w:rFonts w:ascii="Times New Roman" w:hAnsi="Times New Roman"/>
          <w:b w:val="false"/>
          <w:i w:val="false"/>
          <w:color w:val="000000"/>
          <w:sz w:val="16"/>
        </w:rPr>
        <w:t>Editorial change: IAC Supplement 6/24/26</w:t>
      </w:r>
      <w:r>
        <w:rPr>
          <w:rFonts w:ascii="Times New Roman" w:hAnsi="Times New Roman"/>
          <w:b w:val="false"/>
          <w:i w:val="false"/>
          <w:color w:val="000000"/>
          <w:sz w:val="16"/>
        </w:rPr>
        <w:t>]</w:t>
      </w:r>
    </w:p>
    <w:p>
      <w:pPr>
        <w:spacing w:before="0" w:after="0"/>
        <w:ind w:left="120"/>
        <w:jc w:val="both"/>
      </w:pPr>
      <w:r>
        <w:rPr>
          <w:rFonts w:ascii="Times New Roman" w:hAnsi="Times New Roman"/>
          <w:b/>
          <w:i w:val="false"/>
          <w:color w:val="000000"/>
          <w:sz w:val="22"/>
        </w:rPr>
        <w:t>481—1061.2</w:t>
      </w:r>
      <w:r>
        <w:rPr>
          <w:rFonts w:ascii="Times New Roman" w:hAnsi="Times New Roman"/>
          <w:b/>
          <w:i w:val="false"/>
          <w:color w:val="000000"/>
          <w:sz w:val="22"/>
        </w:rPr>
        <w:t xml:space="preserve">(544A,17A) </w:t>
      </w:r>
      <w:r>
        <w:rPr>
          <w:rFonts w:ascii="Times New Roman" w:hAnsi="Times New Roman"/>
          <w:b/>
          <w:i w:val="false"/>
          <w:color w:val="000000"/>
          <w:sz w:val="22"/>
        </w:rPr>
        <w:t xml:space="preserve">Meetings. </w:t>
      </w:r>
      <w:r>
        <w:rPr>
          <w:rFonts w:ascii="Times New Roman" w:hAnsi="Times New Roman"/>
          <w:b w:val="false"/>
          <w:i w:val="false"/>
          <w:color w:val="000000"/>
          <w:sz w:val="22"/>
        </w:rPr>
        <w:t xml:space="preserve">Calls for meetings are issued in accordance with Iowa Code section </w:t>
      </w:r>
      <w:hyperlink r:id="rId7">
        <w:r>
          <w:rPr>
            <w:rStyle w:val="Hyperlink"/>
            <w:rFonts w:ascii="Times New Roman" w:hAnsi="Times New Roman"/>
            <w:b w:val="false"/>
            <w:i w:val="false"/>
            <w:color w:val="000000"/>
            <w:sz w:val="22"/>
          </w:rPr>
          <w:t>21.4</w:t>
        </w:r>
      </w:hyperlink>
      <w:r>
        <w:rPr>
          <w:rFonts w:ascii="Times New Roman" w:hAnsi="Times New Roman"/>
          <w:b w:val="false"/>
          <w:i w:val="false"/>
          <w:color w:val="000000"/>
          <w:sz w:val="22"/>
        </w:rPr>
        <w:t>. The first meeting scheduled after April 30 is the annual meeting. The chairperson and vice chairperson are elected to serve until their successors are elected. The newly elected officers assume the duties of their respective offices at the conclusion of the meeting at which they are elected. Officers may serve no more than three consecutive one-year terms in each office to which they are elected. Special meetings may be called by the chairperson or board administrator, who will set the time and place of the meeting.</w:t>
      </w:r>
    </w:p>
    <w:p>
      <w:pPr>
        <w:spacing w:before="0" w:after="0" w:line="240"/>
        <w:ind w:left="120"/>
        <w:jc w:val="both"/>
      </w:pPr>
      <w:r>
        <w:rPr>
          <w:rFonts w:ascii="Times New Roman" w:hAnsi="Times New Roman"/>
          <w:b w:val="false"/>
          <w:i w:val="false"/>
          <w:color w:val="000000"/>
          <w:sz w:val="16"/>
        </w:rPr>
        <w:t>[</w:t>
      </w:r>
      <w:r>
        <w:rPr>
          <w:rFonts w:ascii="Times New Roman" w:hAnsi="Times New Roman"/>
          <w:b/>
          <w:i w:val="false"/>
          <w:color w:val="000000"/>
          <w:sz w:val="16"/>
        </w:rPr>
        <w:t>ARC 7756C</w:t>
      </w:r>
      <w:r>
        <w:rPr>
          <w:rFonts w:ascii="Times New Roman" w:hAnsi="Times New Roman"/>
          <w:b w:val="false"/>
          <w:i w:val="false"/>
          <w:color w:val="000000"/>
          <w:sz w:val="16"/>
        </w:rPr>
        <w:t>, IAB 4/17/24, effective 5/22/24</w:t>
      </w:r>
      <w:r>
        <w:rPr>
          <w:rFonts w:ascii="Times New Roman" w:hAnsi="Times New Roman"/>
          <w:b w:val="false"/>
          <w:i w:val="false"/>
          <w:color w:val="000000"/>
          <w:sz w:val="16"/>
        </w:rPr>
        <w:t xml:space="preserve">; </w:t>
      </w:r>
      <w:r>
        <w:rPr>
          <w:rFonts w:ascii="Times New Roman" w:hAnsi="Times New Roman"/>
          <w:b w:val="false"/>
          <w:i w:val="false"/>
          <w:color w:val="000000"/>
          <w:sz w:val="16"/>
        </w:rPr>
        <w:t>Editorial change: IAC Supplement 6/24/26</w:t>
      </w:r>
      <w:r>
        <w:rPr>
          <w:rFonts w:ascii="Times New Roman" w:hAnsi="Times New Roman"/>
          <w:b w:val="false"/>
          <w:i w:val="false"/>
          <w:color w:val="000000"/>
          <w:sz w:val="16"/>
        </w:rPr>
        <w:t>]</w:t>
      </w:r>
    </w:p>
    <w:p>
      <w:pPr>
        <w:spacing w:before="0" w:after="0"/>
        <w:ind w:left="120"/>
        <w:jc w:val="both"/>
      </w:pPr>
      <w:r>
        <w:rPr>
          <w:rFonts w:ascii="Times New Roman" w:hAnsi="Times New Roman"/>
          <w:b/>
          <w:i w:val="false"/>
          <w:color w:val="000000"/>
          <w:sz w:val="22"/>
        </w:rPr>
        <w:t>481—1061.3</w:t>
      </w:r>
      <w:r>
        <w:rPr>
          <w:rFonts w:ascii="Times New Roman" w:hAnsi="Times New Roman"/>
          <w:b/>
          <w:i w:val="false"/>
          <w:color w:val="000000"/>
          <w:sz w:val="22"/>
        </w:rPr>
        <w:t xml:space="preserve">(544A,17A) </w:t>
      </w:r>
      <w:r>
        <w:rPr>
          <w:rFonts w:ascii="Times New Roman" w:hAnsi="Times New Roman"/>
          <w:b/>
          <w:i w:val="false"/>
          <w:color w:val="000000"/>
          <w:sz w:val="22"/>
        </w:rPr>
        <w:t xml:space="preserve">Certificates. </w:t>
      </w:r>
      <w:r>
        <w:rPr>
          <w:rFonts w:ascii="Times New Roman" w:hAnsi="Times New Roman"/>
          <w:b w:val="false"/>
          <w:i w:val="false"/>
          <w:color w:val="000000"/>
          <w:sz w:val="22"/>
        </w:rPr>
        <w:t xml:space="preserve">Certificates issued to successful applicants contain the licensee’s name and state license number. All licenses are renewable biennially on July 1, with licensees whose last names begin with the letters A through K renewing in even-numbered years and licensees whose last names begin with the letters L through Z renewing in odd-numbered years as provided in rule </w:t>
      </w:r>
      <w:hyperlink r:id="rId8">
        <w:r>
          <w:rPr>
            <w:rStyle w:val="Hyperlink"/>
            <w:rFonts w:ascii="Times New Roman" w:hAnsi="Times New Roman"/>
            <w:b w:val="false"/>
            <w:i w:val="false"/>
            <w:color w:val="000000"/>
            <w:sz w:val="22"/>
          </w:rPr>
          <w:t>481—1062.5</w:t>
        </w:r>
      </w:hyperlink>
      <w:r>
        <w:rPr>
          <w:rFonts w:ascii="Times New Roman" w:hAnsi="Times New Roman"/>
          <w:b w:val="false"/>
          <w:i w:val="false"/>
          <w:color w:val="000000"/>
          <w:sz w:val="22"/>
        </w:rPr>
        <w:t>(544A).</w:t>
      </w:r>
    </w:p>
    <w:p>
      <w:pPr>
        <w:spacing w:before="0" w:after="0"/>
        <w:ind w:left="120"/>
        <w:jc w:val="both"/>
      </w:pPr>
      <w:r>
        <w:rPr>
          <w:rFonts w:ascii="Times New Roman" w:hAnsi="Times New Roman"/>
          <w:b w:val="false"/>
          <w:i w:val="false"/>
          <w:color w:val="000000"/>
          <w:sz w:val="22"/>
        </w:rPr>
        <w:t xml:space="preserve">The board will maintain an electronic roster of those holders of certificates of licensure who have failed to renew. </w:t>
      </w:r>
    </w:p>
    <w:p>
      <w:pPr>
        <w:spacing w:before="0" w:after="0" w:line="240"/>
        <w:ind w:left="120"/>
        <w:jc w:val="both"/>
      </w:pPr>
      <w:r>
        <w:rPr>
          <w:rFonts w:ascii="Times New Roman" w:hAnsi="Times New Roman"/>
          <w:b w:val="false"/>
          <w:i w:val="false"/>
          <w:color w:val="000000"/>
          <w:sz w:val="16"/>
        </w:rPr>
        <w:t>[</w:t>
      </w:r>
      <w:r>
        <w:rPr>
          <w:rFonts w:ascii="Times New Roman" w:hAnsi="Times New Roman"/>
          <w:b/>
          <w:i w:val="false"/>
          <w:color w:val="000000"/>
          <w:sz w:val="16"/>
        </w:rPr>
        <w:t>ARC 7756C</w:t>
      </w:r>
      <w:r>
        <w:rPr>
          <w:rFonts w:ascii="Times New Roman" w:hAnsi="Times New Roman"/>
          <w:b w:val="false"/>
          <w:i w:val="false"/>
          <w:color w:val="000000"/>
          <w:sz w:val="16"/>
        </w:rPr>
        <w:t>, IAB 4/17/24, effective 5/22/24</w:t>
      </w:r>
      <w:r>
        <w:rPr>
          <w:rFonts w:ascii="Times New Roman" w:hAnsi="Times New Roman"/>
          <w:b w:val="false"/>
          <w:i w:val="false"/>
          <w:color w:val="000000"/>
          <w:sz w:val="16"/>
        </w:rPr>
        <w:t xml:space="preserve">; </w:t>
      </w:r>
      <w:r>
        <w:rPr>
          <w:rFonts w:ascii="Times New Roman" w:hAnsi="Times New Roman"/>
          <w:b w:val="false"/>
          <w:i w:val="false"/>
          <w:color w:val="000000"/>
          <w:sz w:val="16"/>
        </w:rPr>
        <w:t>Editorial change: IAC Supplement 6/24/26</w:t>
      </w:r>
      <w:r>
        <w:rPr>
          <w:rFonts w:ascii="Times New Roman" w:hAnsi="Times New Roman"/>
          <w:b w:val="false"/>
          <w:i w:val="false"/>
          <w:color w:val="000000"/>
          <w:sz w:val="16"/>
        </w:rPr>
        <w:t>]</w:t>
      </w:r>
    </w:p>
    <w:p>
      <w:pPr>
        <w:spacing w:before="0" w:after="0"/>
        <w:ind w:left="120"/>
        <w:jc w:val="both"/>
      </w:pPr>
      <w:r>
        <w:rPr>
          <w:rFonts w:ascii="Times New Roman" w:hAnsi="Times New Roman"/>
          <w:b w:val="false"/>
          <w:i w:val="false"/>
          <w:color w:val="000000"/>
          <w:sz w:val="22"/>
        </w:rPr>
        <w:t xml:space="preserve">These rules are intended to implement Iowa Code sections </w:t>
      </w:r>
      <w:hyperlink r:id="rId9">
        <w:r>
          <w:rPr>
            <w:rStyle w:val="Hyperlink"/>
            <w:rFonts w:ascii="Times New Roman" w:hAnsi="Times New Roman"/>
            <w:b w:val="false"/>
            <w:i w:val="false"/>
            <w:color w:val="000000"/>
            <w:sz w:val="22"/>
          </w:rPr>
          <w:t>544A.5</w:t>
        </w:r>
      </w:hyperlink>
      <w:r>
        <w:rPr>
          <w:rFonts w:ascii="Times New Roman" w:hAnsi="Times New Roman"/>
          <w:b w:val="false"/>
          <w:i w:val="false"/>
          <w:color w:val="000000"/>
          <w:sz w:val="22"/>
        </w:rPr>
        <w:t xml:space="preserve">, </w:t>
      </w:r>
      <w:hyperlink r:id="rId10">
        <w:r>
          <w:rPr>
            <w:rStyle w:val="Hyperlink"/>
            <w:rFonts w:ascii="Times New Roman" w:hAnsi="Times New Roman"/>
            <w:b w:val="false"/>
            <w:i w:val="false"/>
            <w:color w:val="000000"/>
            <w:sz w:val="22"/>
          </w:rPr>
          <w:t>544A.8 through 544A.10</w:t>
        </w:r>
      </w:hyperlink>
      <w:r>
        <w:rPr>
          <w:rFonts w:ascii="Times New Roman" w:hAnsi="Times New Roman"/>
          <w:b w:val="false"/>
          <w:i w:val="false"/>
          <w:color w:val="000000"/>
          <w:sz w:val="22"/>
        </w:rPr>
        <w:t xml:space="preserve">, and </w:t>
      </w:r>
      <w:hyperlink r:id="rId11">
        <w:r>
          <w:rPr>
            <w:rStyle w:val="Hyperlink"/>
            <w:rFonts w:ascii="Times New Roman" w:hAnsi="Times New Roman"/>
            <w:b w:val="false"/>
            <w:i w:val="false"/>
            <w:color w:val="000000"/>
            <w:sz w:val="22"/>
          </w:rPr>
          <w:t>272C.4</w:t>
        </w:r>
      </w:hyperlink>
      <w:r>
        <w:rPr>
          <w:rFonts w:ascii="Times New Roman" w:hAnsi="Times New Roman"/>
          <w:b w:val="false"/>
          <w:i w:val="false"/>
          <w:color w:val="000000"/>
          <w:sz w:val="22"/>
        </w:rPr>
        <w:t>.</w:t>
      </w:r>
    </w:p>
    <w:p>
      <w:pPr>
        <w:spacing w:before="0" w:after="0"/>
        <w:ind w:left="120"/>
        <w:jc w:val="center"/>
      </w:pPr>
      <w:r>
        <w:rPr>
          <w:rFonts w:ascii="Times New Roman" w:hAnsi="Times New Roman"/>
          <w:b w:val="false"/>
          <w:i w:val="false"/>
          <w:color w:val="000000"/>
          <w:sz w:val="21"/>
        </w:rPr>
        <w:t>[Filed 4/8/70, amended 1/2/74]</w:t>
      </w:r>
    </w:p>
    <w:p>
      <w:pPr>
        <w:spacing w:before="0" w:after="0"/>
        <w:ind w:left="120"/>
        <w:jc w:val="center"/>
      </w:pPr>
      <w:r>
        <w:rPr>
          <w:rFonts w:ascii="Times New Roman" w:hAnsi="Times New Roman"/>
          <w:b w:val="false"/>
          <w:i w:val="false"/>
          <w:color w:val="000000"/>
          <w:sz w:val="21"/>
        </w:rPr>
        <w:t>[Filed 10/1/76, Notice 9/8/76—published 10/20/76, effective 12/8/76]</w:t>
      </w:r>
    </w:p>
    <w:p>
      <w:pPr>
        <w:spacing w:before="0" w:after="0"/>
        <w:ind w:left="120"/>
        <w:jc w:val="center"/>
      </w:pPr>
      <w:r>
        <w:rPr>
          <w:rFonts w:ascii="Times New Roman" w:hAnsi="Times New Roman"/>
          <w:b w:val="false"/>
          <w:i w:val="false"/>
          <w:color w:val="000000"/>
          <w:sz w:val="21"/>
        </w:rPr>
        <w:t>[Filed 3/15/78, Notice 11/30/77—published 4/5/78, effective 5/10/78]</w:t>
      </w:r>
    </w:p>
    <w:p>
      <w:pPr>
        <w:spacing w:before="0" w:after="0"/>
        <w:ind w:left="120"/>
        <w:jc w:val="center"/>
      </w:pPr>
      <w:r>
        <w:rPr>
          <w:rFonts w:ascii="Times New Roman" w:hAnsi="Times New Roman"/>
          <w:b w:val="false"/>
          <w:i w:val="false"/>
          <w:color w:val="000000"/>
          <w:sz w:val="21"/>
        </w:rPr>
        <w:t>[Filed 5/8/81, Notice 4/1/81—published 5/27/81, effective 7/1/81]</w:t>
      </w:r>
    </w:p>
    <w:p>
      <w:pPr>
        <w:spacing w:before="0" w:after="0"/>
        <w:ind w:left="120"/>
        <w:jc w:val="center"/>
      </w:pPr>
      <w:r>
        <w:rPr>
          <w:rFonts w:ascii="Times New Roman" w:hAnsi="Times New Roman"/>
          <w:b w:val="false"/>
          <w:i w:val="false"/>
          <w:color w:val="000000"/>
          <w:sz w:val="21"/>
        </w:rPr>
        <w:t>[Filed 2/7/83, Notice 12/22/82—published 3/2/83, effective 4/6/83]</w:t>
      </w:r>
    </w:p>
    <w:p>
      <w:pPr>
        <w:spacing w:before="0" w:after="0"/>
        <w:ind w:left="120"/>
        <w:jc w:val="center"/>
      </w:pPr>
      <w:r>
        <w:rPr>
          <w:rFonts w:ascii="Times New Roman" w:hAnsi="Times New Roman"/>
          <w:b w:val="false"/>
          <w:i w:val="false"/>
          <w:color w:val="000000"/>
          <w:sz w:val="21"/>
        </w:rPr>
        <w:t>[Filed 6/24/88, Notice 3/9/88—published 7/13/88, effective 8/17/88]</w:t>
      </w:r>
    </w:p>
    <w:p>
      <w:pPr>
        <w:spacing w:before="0" w:after="0"/>
        <w:ind w:left="120"/>
        <w:jc w:val="center"/>
      </w:pPr>
      <w:r>
        <w:rPr>
          <w:rFonts w:ascii="Times New Roman" w:hAnsi="Times New Roman"/>
          <w:b w:val="false"/>
          <w:i w:val="false"/>
          <w:color w:val="000000"/>
          <w:sz w:val="21"/>
        </w:rPr>
        <w:t>[Filed 3/30/89, Notice 1/25/89—published 4/19/89, effective 5/24/89]</w:t>
      </w:r>
    </w:p>
    <w:p>
      <w:pPr>
        <w:spacing w:before="0" w:after="0"/>
        <w:ind w:left="120"/>
        <w:jc w:val="center"/>
      </w:pPr>
      <w:r>
        <w:rPr>
          <w:rFonts w:ascii="Times New Roman" w:hAnsi="Times New Roman"/>
          <w:b w:val="false"/>
          <w:i w:val="false"/>
          <w:color w:val="000000"/>
          <w:sz w:val="21"/>
        </w:rPr>
        <w:t>[Filed 2/15/91, Notice 1/9/91—published 3/6/91, effective 4/10/91]</w:t>
      </w:r>
    </w:p>
    <w:p>
      <w:pPr>
        <w:spacing w:before="0" w:after="0"/>
        <w:ind w:left="120"/>
        <w:jc w:val="center"/>
      </w:pPr>
      <w:r>
        <w:rPr>
          <w:rFonts w:ascii="Times New Roman" w:hAnsi="Times New Roman"/>
          <w:b w:val="false"/>
          <w:i w:val="false"/>
          <w:color w:val="000000"/>
          <w:sz w:val="21"/>
        </w:rPr>
        <w:t>[Filed 12/6/91, Notice 10/30/91—published 12/25/91, effective 1/29/92]</w:t>
      </w:r>
    </w:p>
    <w:p>
      <w:pPr>
        <w:spacing w:before="0" w:after="0"/>
        <w:ind w:left="120"/>
        <w:jc w:val="center"/>
      </w:pPr>
      <w:r>
        <w:rPr>
          <w:rFonts w:ascii="Times New Roman" w:hAnsi="Times New Roman"/>
          <w:b w:val="false"/>
          <w:i w:val="false"/>
          <w:color w:val="000000"/>
          <w:sz w:val="21"/>
        </w:rPr>
        <w:t>[Filed 2/6/95, Notice 12/7/94—published 3/1/95, effective 4/5/95]</w:t>
      </w:r>
    </w:p>
    <w:p>
      <w:pPr>
        <w:spacing w:before="0" w:after="0"/>
        <w:ind w:left="120"/>
        <w:jc w:val="center"/>
      </w:pPr>
      <w:r>
        <w:rPr>
          <w:rFonts w:ascii="Times New Roman" w:hAnsi="Times New Roman"/>
          <w:b w:val="false"/>
          <w:i w:val="false"/>
          <w:color w:val="000000"/>
          <w:sz w:val="21"/>
        </w:rPr>
        <w:t>[Filed 6/15/95, Notice 4/26/95—published 7/5/95, effective 8/9/95]</w:t>
      </w:r>
    </w:p>
    <w:p>
      <w:pPr>
        <w:spacing w:before="0" w:after="0"/>
        <w:ind w:left="120"/>
        <w:jc w:val="center"/>
      </w:pPr>
      <w:r>
        <w:rPr>
          <w:rFonts w:ascii="Times New Roman" w:hAnsi="Times New Roman"/>
          <w:b w:val="false"/>
          <w:i w:val="false"/>
          <w:color w:val="000000"/>
          <w:sz w:val="21"/>
        </w:rPr>
        <w:t>[Filed 9/20/96, Notice 7/31/96—published 10/9/96, effective 11/13/96]</w:t>
      </w:r>
    </w:p>
    <w:p>
      <w:pPr>
        <w:spacing w:before="0" w:after="0"/>
        <w:ind w:left="120"/>
        <w:jc w:val="center"/>
      </w:pPr>
      <w:r>
        <w:rPr>
          <w:rFonts w:ascii="Times New Roman" w:hAnsi="Times New Roman"/>
          <w:b w:val="false"/>
          <w:i w:val="false"/>
          <w:color w:val="000000"/>
          <w:sz w:val="21"/>
        </w:rPr>
        <w:t>[Filed 3/21/97, Notice 2/12/97—published 4/9/97, effective 5/14/97]</w:t>
      </w:r>
    </w:p>
    <w:p>
      <w:pPr>
        <w:spacing w:before="0" w:after="0"/>
        <w:ind w:left="120"/>
        <w:jc w:val="center"/>
      </w:pPr>
      <w:r>
        <w:rPr>
          <w:rFonts w:ascii="Times New Roman" w:hAnsi="Times New Roman"/>
          <w:b w:val="false"/>
          <w:i w:val="false"/>
          <w:color w:val="000000"/>
          <w:sz w:val="21"/>
        </w:rPr>
        <w:t>[Filed 4/30/98, Notice 12/31/97—published 5/20/98, effective 6/24/98]</w:t>
      </w:r>
    </w:p>
    <w:p>
      <w:pPr>
        <w:spacing w:before="0" w:after="0"/>
        <w:ind w:left="120"/>
        <w:jc w:val="center"/>
      </w:pPr>
      <w:r>
        <w:rPr>
          <w:rFonts w:ascii="Times New Roman" w:hAnsi="Times New Roman"/>
          <w:b w:val="false"/>
          <w:i w:val="false"/>
          <w:color w:val="000000"/>
          <w:sz w:val="21"/>
        </w:rPr>
        <w:t>[Filed 5/13/99, Notice 2/24/99—published 6/2/99, effective 7/7/99]</w:t>
      </w:r>
    </w:p>
    <w:p>
      <w:pPr>
        <w:spacing w:before="0" w:after="0"/>
        <w:ind w:left="120"/>
        <w:jc w:val="center"/>
      </w:pPr>
      <w:r>
        <w:rPr>
          <w:rFonts w:ascii="Times New Roman" w:hAnsi="Times New Roman"/>
          <w:b w:val="false"/>
          <w:i w:val="false"/>
          <w:color w:val="000000"/>
          <w:sz w:val="21"/>
        </w:rPr>
        <w:t>[Filed 9/12/01, Notice 6/27/01—published 10/3/01, effective 11/7/01]</w:t>
      </w:r>
    </w:p>
    <w:p>
      <w:pPr>
        <w:spacing w:before="0" w:after="0"/>
        <w:ind w:left="120"/>
        <w:jc w:val="center"/>
      </w:pPr>
      <w:r>
        <w:rPr>
          <w:rFonts w:ascii="Times New Roman" w:hAnsi="Times New Roman"/>
          <w:b w:val="false"/>
          <w:i w:val="false"/>
          <w:color w:val="000000"/>
          <w:sz w:val="21"/>
        </w:rPr>
        <w:t>[Filed ARC 1505C</w:t>
      </w:r>
      <w:r>
        <w:rPr>
          <w:rFonts w:ascii="Times New Roman" w:hAnsi="Times New Roman"/>
          <w:b w:val="false"/>
          <w:i w:val="false"/>
          <w:color w:val="000000"/>
          <w:sz w:val="21"/>
        </w:rPr>
        <w:t xml:space="preserve"> (Notice ARC 1251C, IAB 12/25/13)</w:t>
      </w:r>
      <w:r>
        <w:rPr>
          <w:rFonts w:ascii="Times New Roman" w:hAnsi="Times New Roman"/>
          <w:b w:val="false"/>
          <w:i w:val="false"/>
          <w:color w:val="000000"/>
          <w:sz w:val="21"/>
        </w:rPr>
        <w:t>, IAB 6/25/14, effective 7/30/14]</w:t>
      </w:r>
    </w:p>
    <w:p>
      <w:pPr>
        <w:spacing w:before="0" w:after="0"/>
        <w:ind w:left="120"/>
        <w:jc w:val="center"/>
      </w:pPr>
      <w:r>
        <w:rPr>
          <w:rFonts w:ascii="Times New Roman" w:hAnsi="Times New Roman"/>
          <w:b w:val="false"/>
          <w:i w:val="false"/>
          <w:color w:val="000000"/>
          <w:sz w:val="21"/>
        </w:rPr>
        <w:t>[Filed ARC 2674C</w:t>
      </w:r>
      <w:r>
        <w:rPr>
          <w:rFonts w:ascii="Times New Roman" w:hAnsi="Times New Roman"/>
          <w:b w:val="false"/>
          <w:i w:val="false"/>
          <w:color w:val="000000"/>
          <w:sz w:val="21"/>
        </w:rPr>
        <w:t xml:space="preserve"> (Notice ARC 2480C, IAB 3/30/16)</w:t>
      </w:r>
      <w:r>
        <w:rPr>
          <w:rFonts w:ascii="Times New Roman" w:hAnsi="Times New Roman"/>
          <w:b w:val="false"/>
          <w:i w:val="false"/>
          <w:color w:val="000000"/>
          <w:sz w:val="21"/>
        </w:rPr>
        <w:t>, IAB 8/17/16, effective 9/21/16]</w:t>
      </w:r>
    </w:p>
    <w:p>
      <w:pPr>
        <w:spacing w:before="0" w:after="0"/>
        <w:ind w:left="120"/>
        <w:jc w:val="center"/>
      </w:pPr>
      <w:r>
        <w:rPr>
          <w:rFonts w:ascii="Times New Roman" w:hAnsi="Times New Roman"/>
          <w:b w:val="false"/>
          <w:i w:val="false"/>
          <w:color w:val="000000"/>
          <w:sz w:val="21"/>
        </w:rPr>
        <w:t>[Filed ARC 3331C</w:t>
      </w:r>
      <w:r>
        <w:rPr>
          <w:rFonts w:ascii="Times New Roman" w:hAnsi="Times New Roman"/>
          <w:b w:val="false"/>
          <w:i w:val="false"/>
          <w:color w:val="000000"/>
          <w:sz w:val="21"/>
        </w:rPr>
        <w:t xml:space="preserve"> (Notice ARC 3169C, IAB 7/5/17)</w:t>
      </w:r>
      <w:r>
        <w:rPr>
          <w:rFonts w:ascii="Times New Roman" w:hAnsi="Times New Roman"/>
          <w:b w:val="false"/>
          <w:i w:val="false"/>
          <w:color w:val="000000"/>
          <w:sz w:val="21"/>
        </w:rPr>
        <w:t>, IAB 9/27/17, effective 11/1/17]</w:t>
      </w:r>
    </w:p>
    <w:p>
      <w:pPr>
        <w:spacing w:before="0" w:after="0"/>
        <w:ind w:left="120"/>
        <w:jc w:val="center"/>
      </w:pPr>
      <w:r>
        <w:rPr>
          <w:rFonts w:ascii="Times New Roman" w:hAnsi="Times New Roman"/>
          <w:b w:val="false"/>
          <w:i w:val="false"/>
          <w:color w:val="000000"/>
          <w:sz w:val="21"/>
        </w:rPr>
        <w:t>[Filed ARC 5563C</w:t>
      </w:r>
      <w:r>
        <w:rPr>
          <w:rFonts w:ascii="Times New Roman" w:hAnsi="Times New Roman"/>
          <w:b w:val="false"/>
          <w:i w:val="false"/>
          <w:color w:val="000000"/>
          <w:sz w:val="21"/>
        </w:rPr>
        <w:t xml:space="preserve"> (Notice ARC 5355C, IAB 12/30/20)</w:t>
      </w:r>
      <w:r>
        <w:rPr>
          <w:rFonts w:ascii="Times New Roman" w:hAnsi="Times New Roman"/>
          <w:b w:val="false"/>
          <w:i w:val="false"/>
          <w:color w:val="000000"/>
          <w:sz w:val="21"/>
        </w:rPr>
        <w:t>, IAB 4/21/21, effective 5/26/21]</w:t>
      </w:r>
    </w:p>
    <w:p>
      <w:pPr>
        <w:spacing w:before="0" w:after="0"/>
        <w:ind w:left="120"/>
        <w:jc w:val="center"/>
      </w:pPr>
      <w:r>
        <w:rPr>
          <w:rFonts w:ascii="Times New Roman" w:hAnsi="Times New Roman"/>
          <w:b w:val="false"/>
          <w:i w:val="false"/>
          <w:color w:val="000000"/>
          <w:sz w:val="21"/>
        </w:rPr>
        <w:t>[Filed ARC 7756C</w:t>
      </w:r>
      <w:r>
        <w:rPr>
          <w:rFonts w:ascii="Times New Roman" w:hAnsi="Times New Roman"/>
          <w:b w:val="false"/>
          <w:i w:val="false"/>
          <w:color w:val="000000"/>
          <w:sz w:val="21"/>
        </w:rPr>
        <w:t xml:space="preserve"> (Notice ARC 7435C, IAB 1/10/24)</w:t>
      </w:r>
      <w:r>
        <w:rPr>
          <w:rFonts w:ascii="Times New Roman" w:hAnsi="Times New Roman"/>
          <w:b w:val="false"/>
          <w:i w:val="false"/>
          <w:color w:val="000000"/>
          <w:sz w:val="21"/>
        </w:rPr>
        <w:t>, IAB 4/17/24, effective 5/22/24]</w:t>
      </w:r>
    </w:p>
    <w:p>
      <w:pPr>
        <w:spacing w:before="0" w:after="0"/>
        <w:ind w:left="120"/>
        <w:jc w:val="center"/>
      </w:pPr>
      <w:r>
        <w:rPr>
          <w:rFonts w:ascii="Times New Roman" w:hAnsi="Times New Roman"/>
          <w:b w:val="false"/>
          <w:i w:val="false"/>
          <w:color w:val="000000"/>
          <w:sz w:val="21"/>
        </w:rPr>
        <w:t>[Editorial change: IAC Supplement 6/24/26]</w:t>
      </w:r>
    </w:p>
    <w:sectPr>
      <w:footerReference r:id="rId12"/>
      <w:pgSz w:w="11907" w:h="16839" w:code="9"/>
      <w:pgMar w:top="1440" w:right="1440" w:bottom="1440" w:left="1440"/>
    </w:sectPr>
  </w:body>
</w:document>
</file>

<file path=word/footer.xml><?xml version="1.0" encoding="utf-8"?>
<w:ftr xmlns:w="http://schemas.openxmlformats.org/wordprocessingml/2006/main" xmlns:m="http://schemas.openxmlformats.org/officeDocument/2006/math" xmlns:w14="http://schemas.microsoft.com/office/word/2010/wordml" xmlns:r="http://schemas.openxmlformats.org/officeDocument/2006/relationships" xmlns:wp="http://schemas.openxmlformats.org/drawingml/2006/wordprocessingDrawing" xmlns:a="http://schemas.openxmlformats.org/drawingml/2006/main" xmlns:wp14="http://schemas.microsoft.com/office/word/2010/wordprocessingDrawing" xmlns:w15="http://schemas.microsoft.com/office/word/2012/wordml" xmlns:mc="http://schemas.openxmlformats.org/markup-compatibility/2006" xmlns:a14="http://schemas.microsoft.com/office/drawing/2010/main" xmlns:sl="http://schemas.openxmlformats.org/schemaLibrary/2006/main" xmlns:wne="http://schemas.microsoft.com/office/word/2006/wordml" xmlns:c="http://schemas.openxmlformats.org/drawingml/2006/chart" xmlns:cdr="http://schemas.openxmlformats.org/drawingml/2006/chartDrawing" xmlns:c14="http://schemas.microsoft.com/office/drawing/2007/8/2/chart" xmlns:dgm="http://schemas.openxmlformats.org/drawingml/2006/diagram" xmlns:pic="http://schemas.openxmlformats.org/drawingml/2006/picture" xmlns:xdr="http://schemas.openxmlformats.org/drawingml/2006/spreadsheetDrawing" xmlns:dsp="http://schemas.microsoft.com/office/drawing/2008/diagram" xmlns:xvml="urn:schemas-microsoft-com:office:excel" xmlns:o="urn:schemas-microsoft-com:office:office" xmlns:v="urn:schemas-microsoft-com:vml" xmlns:w10="urn:schemas-microsoft-com:office:word" xmlns:pvml="urn:schemas-microsoft-com:office:powerpoint" xmlns:cppr="http://schemas.microsoft.com/office/2006/coverPageProps" xmlns:odx="http://opendope.org/xpaths" xmlns:odc="http://opendope.org/conditions" xmlns:odq="http://opendope.org/questions" xmlns:oda="http://opendope.org/answers" xmlns:odi="http://opendope.org/components" xmlns:odgm="http://opendope.org/SmartArt/DataHierarchy" xmlns:b="http://schemas.openxmlformats.org/officeDocument/2006/bibliography" xmlns:msink="http://schemas.microsoft.com/ink/2010/main" xmlns:cdr14="http://schemas.microsoft.com/office/drawing/2010/chartDrawing" xmlns:c15="http://schemas.microsoft.com/office/drawing/2012/chart" xmlns:cs="http://schemas.microsoft.com/office/drawing/2012/chartStyle" xmlns:ns38="http://www.w3.org/1998/Math/MathML" xmlns:ns39="http://www.w3.org/2003/InkML" xmlns:a13cmd="http://schemas.microsoft.com/office/drawing/2013/main/command" xmlns:cx="http://schemas.microsoft.com/office/drawing/2014/chartex" xmlns:c16="http://schemas.microsoft.com/office/drawing/2014/chart" xmlns:dgm1611="http://schemas.microsoft.com/office/drawing/2016/11/diagram" xmlns:c173="http://schemas.microsoft.com/office/drawing/2017/03/chart" xmlns:am3d="http://schemas.microsoft.com/office/drawing/2017/model3d" xmlns:an18="http://schemas.microsoft.com/office/drawing/2018/animation" xmlns:anam3d="http://schemas.microsoft.com/office/drawing/2018/animation/model3d" xmlns:iact="http://schemas.microsoft.com/office/powerpoint/2014/inkAction" xmlns:thm15="http://schemas.microsoft.com/office/thememl/2012/main" xmlns:wps="http://schemas.microsoft.com/office/word/2010/wordprocessingShape" xmlns:wpc="http://schemas.microsoft.com/office/word/2010/wordprocessingCanvas" xmlns:wpg="http://schemas.microsoft.com/office/word/2010/wordprocessingGroup" xmlns:w16se="http://schemas.microsoft.com/office/word/2015/wordml/symex" xmlns:w16cid="http://schemas.microsoft.com/office/word/2016/wordml/cid" xmlns:wetp="http://schemas.microsoft.com/office/webextensions/taskpanes/2010/11" xmlns:we="http://schemas.microsoft.com/office/webextensions/webextension/2010/11" xmlns:comp="http://schemas.openxmlformats.org/drawingml/2006/compatibility" xmlns:lc="http://schemas.openxmlformats.org/drawingml/2006/lockedCanvas" xmlns:dgm14="http://schemas.microsoft.com/office/drawing/2010/diagram" xmlns:a15="http://schemas.microsoft.com/office/drawing/2012/main" xmlns:pic14="http://schemas.microsoft.com/office/drawing/2010/picture" xmlns:c16ac="http://schemas.microsoft.com/office/drawing/2014/chart/ac" xmlns:a16="http://schemas.microsoft.com/office/drawing/2014/main" xmlns:a1611="http://schemas.microsoft.com/office/drawing/2016/11/main" xmlns:dgm1612="http://schemas.microsoft.com/office/drawing/2016/12/diagram" xmlns:a16svg="http://schemas.microsoft.com/office/drawing/2016/SVG/main" xmlns:adec="http://schemas.microsoft.com/office/drawing/2017/decorative" xmlns:a18hc="http://schemas.microsoft.com/office/drawing/2018/hyperlinkcolor" xmlns:wp15="http://schemas.microsoft.com/office/word/2012/wordprocessingDrawing">
  <w:tbl>
    <w:tblPr>
      <w:tblW w:w="0" w:type="auto"/>
      <w:tblCellSpacing w:w="20" w:type="dxa"/>
      <w:tblBorders>
        <w:top w:val="none"/>
        <w:left w:val="none"/>
        <w:bottom w:val="none"/>
        <w:right w:val="none"/>
        <w:insideH w:val="none"/>
        <w:insideV w:val="none"/>
      </w:tblBorders>
    </w:tblPr>
    <w:tblGrid>
      <w:gridCol w:w="672"/>
      <w:gridCol w:w="672"/>
      <w:gridCol w:w="9523"/>
    </w:tblGrid>
    <w:tr>
      <w:trPr>
        <w:trHeight w:val="285" w:hRule="atLeast"/>
      </w:trPr>
      <w:tc>
        <w:tcPr>
          <w:tcW w:w="672" w:type="dxa"/>
          <w:tcBorders/>
          <w:tcMar>
            <w:top w:w="15" w:type="dxa"/>
            <w:left w:w="15" w:type="dxa"/>
            <w:bottom w:w="15" w:type="dxa"/>
            <w:right w:w="15" w:type="dxa"/>
          </w:tcMar>
          <w:vAlign w:val="center"/>
        </w:tcPr>
        <w:p/>
      </w:tc>
      <w:tc>
        <w:tcPr>
          <w:tcW w:w="672" w:type="dxa"/>
          <w:tcBorders/>
          <w:tcMar>
            <w:top w:w="15" w:type="dxa"/>
            <w:left w:w="15" w:type="dxa"/>
            <w:bottom w:w="15" w:type="dxa"/>
            <w:right w:w="15" w:type="dxa"/>
          </w:tcMar>
          <w:vAlign w:val="center"/>
        </w:tcPr>
        <w:p/>
      </w:tc>
      <w:tc>
        <w:tcPr>
          <w:tcW w:w="9523" w:type="dxa"/>
          <w:tcBorders/>
          <w:tcMar>
            <w:top w:w="15" w:type="dxa"/>
            <w:left w:w="15" w:type="dxa"/>
            <w:bottom w:w="15" w:type="dxa"/>
            <w:right w:w="15" w:type="dxa"/>
          </w:tcMar>
          <w:vAlign w:val="center"/>
        </w:tcPr>
        <w:p>
          <w:pPr>
            <w:spacing w:before="0" w:after="0"/>
            <w:ind w:left="0"/>
            <w:jc w:val="right"/>
          </w:pPr>
          <w:r>
            <w:rPr>
              <w:rFonts w:ascii="Times New Roman" w:hAnsi="Times New Roman"/>
              <w:b w:val="false"/>
              <w:i w:val="false"/>
              <w:color w:val="000000"/>
              <w:sz w:val="22"/>
            </w:rPr>
            <w:t>, v _</w:t>
          </w:r>
        </w:p>
      </w:tc>
    </w:tr>
  </w:tbl>
</w:ftr>
</file>

<file path=word/numbering.xml><?xml version="1.0" encoding="utf-8"?>
<w:numbering xmlns:w="http://schemas.openxmlformats.org/wordprocessingml/2006/main" xmlns:m="http://schemas.openxmlformats.org/officeDocument/2006/math" xmlns:w14="http://schemas.microsoft.com/office/word/2010/wordml" xmlns:r="http://schemas.openxmlformats.org/officeDocument/2006/relationships" xmlns:wp="http://schemas.openxmlformats.org/drawingml/2006/wordprocessingDrawing" xmlns:a="http://schemas.openxmlformats.org/drawingml/2006/main" xmlns:wp14="http://schemas.microsoft.com/office/word/2010/wordprocessingDrawing" xmlns:w15="http://schemas.microsoft.com/office/word/2012/wordml" xmlns:mc="http://schemas.openxmlformats.org/markup-compatibility/2006" xmlns:a14="http://schemas.microsoft.com/office/drawing/2010/main" xmlns:sl="http://schemas.openxmlformats.org/schemaLibrary/2006/main" xmlns:wne="http://schemas.microsoft.com/office/word/2006/wordml" xmlns:c="http://schemas.openxmlformats.org/drawingml/2006/chart" xmlns:cdr="http://schemas.openxmlformats.org/drawingml/2006/chartDrawing" xmlns:c14="http://schemas.microsoft.com/office/drawing/2007/8/2/chart" xmlns:dgm="http://schemas.openxmlformats.org/drawingml/2006/diagram" xmlns:pic="http://schemas.openxmlformats.org/drawingml/2006/picture" xmlns:xdr="http://schemas.openxmlformats.org/drawingml/2006/spreadsheetDrawing" xmlns:dsp="http://schemas.microsoft.com/office/drawing/2008/diagram" xmlns:xvml="urn:schemas-microsoft-com:office:excel" xmlns:o="urn:schemas-microsoft-com:office:office" xmlns:v="urn:schemas-microsoft-com:vml" xmlns:w10="urn:schemas-microsoft-com:office:word" xmlns:pvml="urn:schemas-microsoft-com:office:powerpoint" xmlns:cppr="http://schemas.microsoft.com/office/2006/coverPageProps" xmlns:odx="http://opendope.org/xpaths" xmlns:odc="http://opendope.org/conditions" xmlns:odq="http://opendope.org/questions" xmlns:oda="http://opendope.org/answers" xmlns:odi="http://opendope.org/components" xmlns:odgm="http://opendope.org/SmartArt/DataHierarchy" xmlns:b="http://schemas.openxmlformats.org/officeDocument/2006/bibliography" xmlns:msink="http://schemas.microsoft.com/ink/2010/main" xmlns:cdr14="http://schemas.microsoft.com/office/drawing/2010/chartDrawing" xmlns:c15="http://schemas.microsoft.com/office/drawing/2012/chart" xmlns:cs="http://schemas.microsoft.com/office/drawing/2012/chartStyle" xmlns:ns38="http://www.w3.org/1998/Math/MathML" xmlns:ns39="http://www.w3.org/2003/InkML" xmlns:a13cmd="http://schemas.microsoft.com/office/drawing/2013/main/command" xmlns:cx="http://schemas.microsoft.com/office/drawing/2014/chartex" xmlns:c16="http://schemas.microsoft.com/office/drawing/2014/chart" xmlns:dgm1611="http://schemas.microsoft.com/office/drawing/2016/11/diagram" xmlns:c173="http://schemas.microsoft.com/office/drawing/2017/03/chart" xmlns:am3d="http://schemas.microsoft.com/office/drawing/2017/model3d" xmlns:an18="http://schemas.microsoft.com/office/drawing/2018/animation" xmlns:anam3d="http://schemas.microsoft.com/office/drawing/2018/animation/model3d" xmlns:iact="http://schemas.microsoft.com/office/powerpoint/2014/inkAction" xmlns:thm15="http://schemas.microsoft.com/office/thememl/2012/main" xmlns:wps="http://schemas.microsoft.com/office/word/2010/wordprocessingShape" xmlns:wpc="http://schemas.microsoft.com/office/word/2010/wordprocessingCanvas" xmlns:wpg="http://schemas.microsoft.com/office/word/2010/wordprocessingGroup" xmlns:w16se="http://schemas.microsoft.com/office/word/2015/wordml/symex" xmlns:w16cid="http://schemas.microsoft.com/office/word/2016/wordml/cid" xmlns:wetp="http://schemas.microsoft.com/office/webextensions/taskpanes/2010/11" xmlns:we="http://schemas.microsoft.com/office/webextensions/webextension/2010/11" xmlns:comp="http://schemas.openxmlformats.org/drawingml/2006/compatibility" xmlns:lc="http://schemas.openxmlformats.org/drawingml/2006/lockedCanvas" xmlns:dgm14="http://schemas.microsoft.com/office/drawing/2010/diagram" xmlns:a15="http://schemas.microsoft.com/office/drawing/2012/main" xmlns:pic14="http://schemas.microsoft.com/office/drawing/2010/picture" xmlns:c16ac="http://schemas.microsoft.com/office/drawing/2014/chart/ac" xmlns:a16="http://schemas.microsoft.com/office/drawing/2014/main" xmlns:a1611="http://schemas.microsoft.com/office/drawing/2016/11/main" xmlns:dgm1612="http://schemas.microsoft.com/office/drawing/2016/12/diagram" xmlns:a16svg="http://schemas.microsoft.com/office/drawing/2016/SVG/main" xmlns:adec="http://schemas.microsoft.com/office/drawing/2017/decorative" xmlns:a18hc="http://schemas.microsoft.com/office/drawing/2018/hyperlinkcolor" xmlns:wp15="http://schemas.microsoft.com/office/word/2012/wordprocessingDrawing"/>
</file>

<file path=word/settings.xml><?xml version="1.0" encoding="utf-8"?>
<w:settings xmlns:w="http://schemas.openxmlformats.org/wordprocessingml/2006/main" xmlns:m="http://schemas.openxmlformats.org/officeDocument/2006/math" xmlns:w14="http://schemas.microsoft.com/office/word/2010/wordml" xmlns:r="http://schemas.openxmlformats.org/officeDocument/2006/relationships" xmlns:wp="http://schemas.openxmlformats.org/drawingml/2006/wordprocessingDrawing" xmlns:a="http://schemas.openxmlformats.org/drawingml/2006/main" xmlns:wp14="http://schemas.microsoft.com/office/word/2010/wordprocessingDrawing" xmlns:w15="http://schemas.microsoft.com/office/word/2012/wordml" xmlns:mc="http://schemas.openxmlformats.org/markup-compatibility/2006" xmlns:a14="http://schemas.microsoft.com/office/drawing/2010/main" xmlns:sl="http://schemas.openxmlformats.org/schemaLibrary/2006/main" xmlns:wne="http://schemas.microsoft.com/office/word/2006/wordml" xmlns:c="http://schemas.openxmlformats.org/drawingml/2006/chart" xmlns:cdr="http://schemas.openxmlformats.org/drawingml/2006/chartDrawing" xmlns:c14="http://schemas.microsoft.com/office/drawing/2007/8/2/chart" xmlns:dgm="http://schemas.openxmlformats.org/drawingml/2006/diagram" xmlns:pic="http://schemas.openxmlformats.org/drawingml/2006/picture" xmlns:xdr="http://schemas.openxmlformats.org/drawingml/2006/spreadsheetDrawing" xmlns:dsp="http://schemas.microsoft.com/office/drawing/2008/diagram" xmlns:xvml="urn:schemas-microsoft-com:office:excel" xmlns:o="urn:schemas-microsoft-com:office:office" xmlns:v="urn:schemas-microsoft-com:vml" xmlns:w10="urn:schemas-microsoft-com:office:word" xmlns:pvml="urn:schemas-microsoft-com:office:powerpoint" xmlns:cppr="http://schemas.microsoft.com/office/2006/coverPageProps" xmlns:odx="http://opendope.org/xpaths" xmlns:odc="http://opendope.org/conditions" xmlns:odq="http://opendope.org/questions" xmlns:oda="http://opendope.org/answers" xmlns:odi="http://opendope.org/components" xmlns:odgm="http://opendope.org/SmartArt/DataHierarchy" xmlns:b="http://schemas.openxmlformats.org/officeDocument/2006/bibliography" xmlns:msink="http://schemas.microsoft.com/ink/2010/main" xmlns:cdr14="http://schemas.microsoft.com/office/drawing/2010/chartDrawing" xmlns:c15="http://schemas.microsoft.com/office/drawing/2012/chart" xmlns:cs="http://schemas.microsoft.com/office/drawing/2012/chartStyle" xmlns:ns38="http://www.w3.org/1998/Math/MathML" xmlns:ns39="http://www.w3.org/2003/InkML" xmlns:a13cmd="http://schemas.microsoft.com/office/drawing/2013/main/command" xmlns:cx="http://schemas.microsoft.com/office/drawing/2014/chartex" xmlns:c16="http://schemas.microsoft.com/office/drawing/2014/chart" xmlns:dgm1611="http://schemas.microsoft.com/office/drawing/2016/11/diagram" xmlns:c173="http://schemas.microsoft.com/office/drawing/2017/03/chart" xmlns:am3d="http://schemas.microsoft.com/office/drawing/2017/model3d" xmlns:an18="http://schemas.microsoft.com/office/drawing/2018/animation" xmlns:anam3d="http://schemas.microsoft.com/office/drawing/2018/animation/model3d" xmlns:iact="http://schemas.microsoft.com/office/powerpoint/2014/inkAction" xmlns:thm15="http://schemas.microsoft.com/office/thememl/2012/main" xmlns:wps="http://schemas.microsoft.com/office/word/2010/wordprocessingShape" xmlns:wpc="http://schemas.microsoft.com/office/word/2010/wordprocessingCanvas" xmlns:wpg="http://schemas.microsoft.com/office/word/2010/wordprocessingGroup" xmlns:w16se="http://schemas.microsoft.com/office/word/2015/wordml/symex" xmlns:w16cid="http://schemas.microsoft.com/office/word/2016/wordml/cid" xmlns:wetp="http://schemas.microsoft.com/office/webextensions/taskpanes/2010/11" xmlns:we="http://schemas.microsoft.com/office/webextensions/webextension/2010/11" xmlns:comp="http://schemas.openxmlformats.org/drawingml/2006/compatibility" xmlns:lc="http://schemas.openxmlformats.org/drawingml/2006/lockedCanvas" xmlns:dgm14="http://schemas.microsoft.com/office/drawing/2010/diagram" xmlns:a15="http://schemas.microsoft.com/office/drawing/2012/main" xmlns:pic14="http://schemas.microsoft.com/office/drawing/2010/picture" xmlns:c16ac="http://schemas.microsoft.com/office/drawing/2014/chart/ac" xmlns:a16="http://schemas.microsoft.com/office/drawing/2014/main" xmlns:a1611="http://schemas.microsoft.com/office/drawing/2016/11/main" xmlns:dgm1612="http://schemas.microsoft.com/office/drawing/2016/12/diagram" xmlns:a16svg="http://schemas.microsoft.com/office/drawing/2016/SVG/main" xmlns:adec="http://schemas.microsoft.com/office/drawing/2017/decorative" xmlns:a18hc="http://schemas.microsoft.com/office/drawing/2018/hyperlinkcolor" xmlns:wp15="http://schemas.microsoft.com/office/word/2012/wordprocessingDrawing" mc:Ignorable="">
  <w:compat>
    <w:compatSetting w:name="overrideTableStyleFontSizeAndJustification" w:uri="http://schemas.microsoft.com/office/word" w:val="1"/>
  </w:compat>
</w:settings>
</file>

<file path=word/styles.xml><?xml version="1.0" encoding="utf-8"?>
<w:styles xmlns:w="http://schemas.openxmlformats.org/wordprocessingml/2006/main" xmlns:m="http://schemas.openxmlformats.org/officeDocument/2006/math" xmlns:w14="http://schemas.microsoft.com/office/word/2010/wordml" xmlns:r="http://schemas.openxmlformats.org/officeDocument/2006/relationships" xmlns:wp="http://schemas.openxmlformats.org/drawingml/2006/wordprocessingDrawing" xmlns:a="http://schemas.openxmlformats.org/drawingml/2006/main" xmlns:wp14="http://schemas.microsoft.com/office/word/2010/wordprocessingDrawing" xmlns:w15="http://schemas.microsoft.com/office/word/2012/wordml" xmlns:mc="http://schemas.openxmlformats.org/markup-compatibility/2006" xmlns:a14="http://schemas.microsoft.com/office/drawing/2010/main" xmlns:sl="http://schemas.openxmlformats.org/schemaLibrary/2006/main" xmlns:wne="http://schemas.microsoft.com/office/word/2006/wordml" xmlns:c="http://schemas.openxmlformats.org/drawingml/2006/chart" xmlns:cdr="http://schemas.openxmlformats.org/drawingml/2006/chartDrawing" xmlns:c14="http://schemas.microsoft.com/office/drawing/2007/8/2/chart" xmlns:dgm="http://schemas.openxmlformats.org/drawingml/2006/diagram" xmlns:pic="http://schemas.openxmlformats.org/drawingml/2006/picture" xmlns:xdr="http://schemas.openxmlformats.org/drawingml/2006/spreadsheetDrawing" xmlns:dsp="http://schemas.microsoft.com/office/drawing/2008/diagram" xmlns:xvml="urn:schemas-microsoft-com:office:excel" xmlns:o="urn:schemas-microsoft-com:office:office" xmlns:v="urn:schemas-microsoft-com:vml" xmlns:w10="urn:schemas-microsoft-com:office:word" xmlns:pvml="urn:schemas-microsoft-com:office:powerpoint" xmlns:cppr="http://schemas.microsoft.com/office/2006/coverPageProps" xmlns:odx="http://opendope.org/xpaths" xmlns:odc="http://opendope.org/conditions" xmlns:odq="http://opendope.org/questions" xmlns:oda="http://opendope.org/answers" xmlns:odi="http://opendope.org/components" xmlns:odgm="http://opendope.org/SmartArt/DataHierarchy" xmlns:b="http://schemas.openxmlformats.org/officeDocument/2006/bibliography" xmlns:msink="http://schemas.microsoft.com/ink/2010/main" xmlns:cdr14="http://schemas.microsoft.com/office/drawing/2010/chartDrawing" xmlns:c15="http://schemas.microsoft.com/office/drawing/2012/chart" xmlns:cs="http://schemas.microsoft.com/office/drawing/2012/chartStyle" xmlns:ns38="http://www.w3.org/1998/Math/MathML" xmlns:ns39="http://www.w3.org/2003/InkML" xmlns:a13cmd="http://schemas.microsoft.com/office/drawing/2013/main/command" xmlns:cx="http://schemas.microsoft.com/office/drawing/2014/chartex" xmlns:c16="http://schemas.microsoft.com/office/drawing/2014/chart" xmlns:dgm1611="http://schemas.microsoft.com/office/drawing/2016/11/diagram" xmlns:c173="http://schemas.microsoft.com/office/drawing/2017/03/chart" xmlns:am3d="http://schemas.microsoft.com/office/drawing/2017/model3d" xmlns:an18="http://schemas.microsoft.com/office/drawing/2018/animation" xmlns:anam3d="http://schemas.microsoft.com/office/drawing/2018/animation/model3d" xmlns:iact="http://schemas.microsoft.com/office/powerpoint/2014/inkAction" xmlns:thm15="http://schemas.microsoft.com/office/thememl/2012/main" xmlns:wps="http://schemas.microsoft.com/office/word/2010/wordprocessingShape" xmlns:wpc="http://schemas.microsoft.com/office/word/2010/wordprocessingCanvas" xmlns:wpg="http://schemas.microsoft.com/office/word/2010/wordprocessingGroup" xmlns:w16se="http://schemas.microsoft.com/office/word/2015/wordml/symex" xmlns:w16cid="http://schemas.microsoft.com/office/word/2016/wordml/cid" xmlns:wetp="http://schemas.microsoft.com/office/webextensions/taskpanes/2010/11" xmlns:we="http://schemas.microsoft.com/office/webextensions/webextension/2010/11" xmlns:comp="http://schemas.openxmlformats.org/drawingml/2006/compatibility" xmlns:lc="http://schemas.openxmlformats.org/drawingml/2006/lockedCanvas" xmlns:dgm14="http://schemas.microsoft.com/office/drawing/2010/diagram" xmlns:a15="http://schemas.microsoft.com/office/drawing/2012/main" xmlns:pic14="http://schemas.microsoft.com/office/drawing/2010/picture" xmlns:c16ac="http://schemas.microsoft.com/office/drawing/2014/chart/ac" xmlns:a16="http://schemas.microsoft.com/office/drawing/2014/main" xmlns:a1611="http://schemas.microsoft.com/office/drawing/2016/11/main" xmlns:dgm1612="http://schemas.microsoft.com/office/drawing/2016/12/diagram" xmlns:a16svg="http://schemas.microsoft.com/office/drawing/2016/SVG/main" xmlns:adec="http://schemas.microsoft.com/office/drawing/2017/decorative" xmlns:a18hc="http://schemas.microsoft.com/office/drawing/2018/hyperlinkcolor" xmlns:wp15="http://schemas.microsoft.com/office/word/2012/wordprocessingDrawing">
  <w:docDefaults>
    <w:rPrDefault>
      <w:rPr>
        <w:rFonts w:asciiTheme="minorHAnsi" w:hAnsiTheme="minorHAnsi" w:eastAsiaTheme="minorHAnsi" w:cstheme="minorBidi"/>
        <w:sz w:val="22"/>
        <w:szCs w:val="22"/>
        <w:lang w:val="en-US" w:eastAsia="en-US" w:bidi="ar-SA"/>
      </w:rPr>
    </w:rPrDefault>
    <w:pPrDefault>
      <w:pPr>
        <w:spacing w:after="200" w:line="276" w:lineRule="auto"/>
      </w:pPr>
    </w:pPrDefault>
  </w:docDefaults>
  <w:latentStyles w:defLockedState="false" w:defUIPriority="99" w:defSemiHidden="true" w:defUnhideWhenUsed="true" w:defQFormat="false" w:count="267">
    <w:lsdException w:name="Normal" w:uiPriority="0" w:semiHidden="false" w:unhideWhenUsed="false" w:qFormat="true"/>
    <w:lsdException w:name="heading 1" w:uiPriority="9" w:semiHidden="false" w:unhideWhenUsed="false" w:qFormat="true"/>
    <w:lsdException w:name="heading 2" w:uiPriority="9" w:qFormat="true"/>
    <w:lsdException w:name="heading 3" w:uiPriority="9" w:qFormat="true"/>
    <w:lsdException w:name="heading 4" w:uiPriority="9" w:qFormat="true"/>
    <w:lsdException w:name="Title" w:uiPriority="10" w:semiHidden="false" w:unhideWhenUsed="false" w:qFormat="true"/>
    <w:lsdException w:name="Default Paragraph Font" w:uiPriority="1"/>
    <w:lsdException w:name="Subtitle" w:uiPriority="11" w:semiHidden="false" w:unhideWhenUsed="false" w:qFormat="true"/>
    <w:lsdException w:name="Emphasis" w:uiPriority="20" w:semiHidden="false" w:unhideWhenUsed="false" w:qFormat="true"/>
    <w:lsdException w:name="Table Grid" w:uiPriority="59" w:semiHidden="false" w:unhideWhenUsed="false"/>
  </w:latentStyles>
  <w:style w:type="paragraph" w:styleId="Normal" w:default="true">
    <w:name w:val="Normal"/>
    <w:qFormat/>
    <w:rsid w:val="004A3277"/>
  </w:style>
  <w:style w:type="paragraph" w:styleId="Heading1">
    <w:name w:val="heading 1"/>
    <w:basedOn w:val="Normal"/>
    <w:next w:val="Normal"/>
    <w:link w:val="Heading1Char"/>
    <w:uiPriority w:val="9"/>
    <w:qFormat/>
    <w:rsid w:val="00841CD9"/>
    <w:pPr>
      <w:keepNext/>
      <w:keepLines/>
      <w:spacing w:before="480"/>
      <w:outlineLvl w:val="0"/>
    </w:pPr>
    <w:rPr>
      <w:rFonts w:asciiTheme="majorHAnsi" w:hAnsiTheme="majorHAnsi" w:eastAsiaTheme="majorEastAsia" w:cstheme="majorBidi"/>
      <w:b/>
      <w:bCs/>
      <w:color w:val="365F91" w:themeColor="accent1" w:themeShade="BF"/>
      <w:sz w:val="28"/>
      <w:szCs w:val="28"/>
    </w:rPr>
  </w:style>
  <w:style w:type="paragraph" w:styleId="Heading2">
    <w:name w:val="heading 2"/>
    <w:basedOn w:val="Normal"/>
    <w:next w:val="Normal"/>
    <w:link w:val="Heading2Char"/>
    <w:uiPriority w:val="9"/>
    <w:unhideWhenUsed/>
    <w:qFormat/>
    <w:rsid w:val="00841CD9"/>
    <w:pPr>
      <w:keepNext/>
      <w:keepLines/>
      <w:spacing w:before="200"/>
      <w:outlineLvl w:val="1"/>
    </w:pPr>
    <w:rPr>
      <w:rFonts w:asciiTheme="majorHAnsi" w:hAnsiTheme="majorHAnsi" w:eastAsiaTheme="majorEastAsia" w:cstheme="majorBidi"/>
      <w:b/>
      <w:bCs/>
      <w:color w:val="4F81BD" w:themeColor="accent1"/>
      <w:sz w:val="26"/>
      <w:szCs w:val="26"/>
    </w:rPr>
  </w:style>
  <w:style w:type="paragraph" w:styleId="Heading3">
    <w:name w:val="heading 3"/>
    <w:basedOn w:val="Normal"/>
    <w:next w:val="Normal"/>
    <w:link w:val="Heading3Char"/>
    <w:uiPriority w:val="9"/>
    <w:unhideWhenUsed/>
    <w:qFormat/>
    <w:rsid w:val="00841CD9"/>
    <w:pPr>
      <w:keepNext/>
      <w:keepLines/>
      <w:spacing w:before="200"/>
      <w:outlineLvl w:val="2"/>
    </w:pPr>
    <w:rPr>
      <w:rFonts w:asciiTheme="majorHAnsi" w:hAnsiTheme="majorHAnsi" w:eastAsiaTheme="majorEastAsia" w:cstheme="majorBidi"/>
      <w:b/>
      <w:bCs/>
      <w:color w:val="4F81BD" w:themeColor="accent1"/>
    </w:rPr>
  </w:style>
  <w:style w:type="paragraph" w:styleId="Heading4">
    <w:name w:val="heading 4"/>
    <w:basedOn w:val="Normal"/>
    <w:next w:val="Normal"/>
    <w:link w:val="Heading4Char"/>
    <w:uiPriority w:val="9"/>
    <w:unhideWhenUsed/>
    <w:qFormat/>
    <w:rsid w:val="00841CD9"/>
    <w:pPr>
      <w:keepNext/>
      <w:keepLines/>
      <w:spacing w:before="200"/>
      <w:outlineLvl w:val="3"/>
    </w:pPr>
    <w:rPr>
      <w:rFonts w:asciiTheme="majorHAnsi" w:hAnsiTheme="majorHAnsi" w:eastAsiaTheme="majorEastAsia" w:cstheme="majorBidi"/>
      <w:b/>
      <w:bCs/>
      <w:i/>
      <w:iCs/>
      <w:color w:val="4F81BD" w:themeColor="accent1"/>
    </w:rPr>
  </w:style>
  <w:style w:type="character" w:styleId="DefaultParagraphFont" w:default="true">
    <w:name w:val="Default Paragraph Font"/>
    <w:uiPriority w:val="1"/>
    <w:semiHidden/>
    <w:unhideWhenUsed/>
  </w:style>
  <w:style w:type="paragraph" w:styleId="Header">
    <w:name w:val="header"/>
    <w:basedOn w:val="Normal"/>
    <w:link w:val="HeaderChar"/>
    <w:uiPriority w:val="99"/>
    <w:unhideWhenUsed/>
    <w:rsid w:val="00841CD9"/>
    <w:pPr>
      <w:tabs>
        <w:tab w:val="center" w:pos="4680"/>
        <w:tab w:val="right" w:pos="9360"/>
      </w:tabs>
    </w:pPr>
  </w:style>
  <w:style w:type="character" w:styleId="HeaderChar" w:customStyle="true">
    <w:name w:val="Header Char"/>
    <w:basedOn w:val="DefaultParagraphFont"/>
    <w:link w:val="Header"/>
    <w:uiPriority w:val="99"/>
    <w:rsid w:val="00841CD9"/>
  </w:style>
  <w:style w:type="character" w:styleId="Heading1Char" w:customStyle="true">
    <w:name w:val="Heading 1 Char"/>
    <w:basedOn w:val="DefaultParagraphFont"/>
    <w:link w:val="Heading1"/>
    <w:uiPriority w:val="9"/>
    <w:rsid w:val="00841CD9"/>
    <w:rPr>
      <w:rFonts w:asciiTheme="majorHAnsi" w:hAnsiTheme="majorHAnsi" w:eastAsiaTheme="majorEastAsia" w:cstheme="majorBidi"/>
      <w:b/>
      <w:bCs/>
      <w:color w:val="365F91" w:themeColor="accent1" w:themeShade="BF"/>
      <w:sz w:val="28"/>
      <w:szCs w:val="28"/>
    </w:rPr>
  </w:style>
  <w:style w:type="character" w:styleId="Heading2Char" w:customStyle="true">
    <w:name w:val="Heading 2 Char"/>
    <w:basedOn w:val="DefaultParagraphFont"/>
    <w:link w:val="Heading2"/>
    <w:uiPriority w:val="9"/>
    <w:rsid w:val="00841CD9"/>
    <w:rPr>
      <w:rFonts w:asciiTheme="majorHAnsi" w:hAnsiTheme="majorHAnsi" w:eastAsiaTheme="majorEastAsia" w:cstheme="majorBidi"/>
      <w:b/>
      <w:bCs/>
      <w:color w:val="4F81BD" w:themeColor="accent1"/>
      <w:sz w:val="26"/>
      <w:szCs w:val="26"/>
    </w:rPr>
  </w:style>
  <w:style w:type="character" w:styleId="Heading3Char" w:customStyle="true">
    <w:name w:val="Heading 3 Char"/>
    <w:basedOn w:val="DefaultParagraphFont"/>
    <w:link w:val="Heading3"/>
    <w:uiPriority w:val="9"/>
    <w:rsid w:val="00841CD9"/>
    <w:rPr>
      <w:rFonts w:asciiTheme="majorHAnsi" w:hAnsiTheme="majorHAnsi" w:eastAsiaTheme="majorEastAsia" w:cstheme="majorBidi"/>
      <w:b/>
      <w:bCs/>
      <w:color w:val="4F81BD" w:themeColor="accent1"/>
    </w:rPr>
  </w:style>
  <w:style w:type="character" w:styleId="Heading4Char" w:customStyle="true">
    <w:name w:val="Heading 4 Char"/>
    <w:basedOn w:val="DefaultParagraphFont"/>
    <w:link w:val="Heading4"/>
    <w:uiPriority w:val="9"/>
    <w:rsid w:val="00841CD9"/>
    <w:rPr>
      <w:rFonts w:asciiTheme="majorHAnsi" w:hAnsiTheme="majorHAnsi" w:eastAsiaTheme="majorEastAsia" w:cstheme="majorBidi"/>
      <w:b/>
      <w:bCs/>
      <w:i/>
      <w:iCs/>
      <w:color w:val="4F81BD" w:themeColor="accent1"/>
    </w:rPr>
  </w:style>
  <w:style w:type="paragraph" w:styleId="NormalIndent">
    <w:name w:val="Normal Indent"/>
    <w:basedOn w:val="Normal"/>
    <w:uiPriority w:val="99"/>
    <w:unhideWhenUsed/>
    <w:rsid w:val="00841CD9"/>
    <w:pPr>
      <w:ind w:left="720"/>
    </w:pPr>
  </w:style>
  <w:style w:type="paragraph" w:styleId="Subtitle">
    <w:name w:val="Subtitle"/>
    <w:basedOn w:val="Normal"/>
    <w:next w:val="Normal"/>
    <w:link w:val="SubtitleChar"/>
    <w:uiPriority w:val="11"/>
    <w:qFormat/>
    <w:rsid w:val="00841CD9"/>
    <w:pPr>
      <w:numPr>
        <w:ilvl w:val="1"/>
      </w:numPr>
      <w:ind w:left="86"/>
    </w:pPr>
    <w:rPr>
      <w:rFonts w:asciiTheme="majorHAnsi" w:hAnsiTheme="majorHAnsi" w:eastAsiaTheme="majorEastAsia" w:cstheme="majorBidi"/>
      <w:i/>
      <w:iCs/>
      <w:color w:val="4F81BD" w:themeColor="accent1"/>
      <w:spacing w:val="15"/>
      <w:sz w:val="24"/>
      <w:szCs w:val="24"/>
    </w:rPr>
  </w:style>
  <w:style w:type="character" w:styleId="SubtitleChar" w:customStyle="true">
    <w:name w:val="Subtitle Char"/>
    <w:basedOn w:val="DefaultParagraphFont"/>
    <w:link w:val="Subtitle"/>
    <w:uiPriority w:val="11"/>
    <w:rsid w:val="00841CD9"/>
    <w:rPr>
      <w:rFonts w:asciiTheme="majorHAnsi" w:hAnsiTheme="majorHAnsi" w:eastAsiaTheme="majorEastAsia" w:cstheme="majorBidi"/>
      <w:i/>
      <w:iCs/>
      <w:color w:val="4F81BD" w:themeColor="accent1"/>
      <w:spacing w:val="15"/>
      <w:sz w:val="24"/>
      <w:szCs w:val="24"/>
    </w:rPr>
  </w:style>
  <w:style w:type="paragraph" w:styleId="Title">
    <w:name w:val="Title"/>
    <w:basedOn w:val="Normal"/>
    <w:next w:val="Normal"/>
    <w:link w:val="TitleChar"/>
    <w:uiPriority w:val="10"/>
    <w:qFormat/>
    <w:rsid w:val="00841CD9"/>
    <w:pPr>
      <w:pBdr>
        <w:bottom w:val="single" w:color="4F81BD" w:themeColor="accent1" w:sz="8" w:space="4"/>
      </w:pBdr>
      <w:spacing w:after="300"/>
      <w:contextualSpacing/>
    </w:pPr>
    <w:rPr>
      <w:rFonts w:asciiTheme="majorHAnsi" w:hAnsiTheme="majorHAnsi" w:eastAsiaTheme="majorEastAsia" w:cstheme="majorBidi"/>
      <w:color w:val="17365D" w:themeColor="text2" w:themeShade="BF"/>
      <w:spacing w:val="5"/>
      <w:kern w:val="28"/>
      <w:sz w:val="52"/>
      <w:szCs w:val="52"/>
    </w:rPr>
  </w:style>
  <w:style w:type="character" w:styleId="TitleChar" w:customStyle="true">
    <w:name w:val="Title Char"/>
    <w:basedOn w:val="DefaultParagraphFont"/>
    <w:link w:val="Title"/>
    <w:uiPriority w:val="10"/>
    <w:rsid w:val="00841CD9"/>
    <w:rPr>
      <w:rFonts w:asciiTheme="majorHAnsi" w:hAnsiTheme="majorHAnsi" w:eastAsiaTheme="majorEastAsia" w:cstheme="majorBidi"/>
      <w:color w:val="17365D" w:themeColor="text2" w:themeShade="BF"/>
      <w:spacing w:val="5"/>
      <w:kern w:val="28"/>
      <w:sz w:val="52"/>
      <w:szCs w:val="52"/>
    </w:rPr>
  </w:style>
  <w:style w:type="character" w:styleId="Emphasis">
    <w:name w:val="Emphasis"/>
    <w:basedOn w:val="DefaultParagraphFont"/>
    <w:uiPriority w:val="20"/>
    <w:qFormat/>
    <w:rsid w:val="00D1197D"/>
    <w:rPr>
      <w:i/>
      <w:iCs/>
    </w:rPr>
  </w:style>
  <w:style w:type="character" w:styleId="Hyperlink">
    <w:name w:val="Hyperlink"/>
    <w:basedOn w:val="DefaultParagraphFont"/>
    <w:uiPriority w:val="99"/>
    <w:unhideWhenUsed/>
    <w:rPr>
      <w:color w:val="0000FF" w:themeColor="hyperlink"/>
      <w:u w:val="single"/>
    </w:rPr>
  </w:style>
  <w:style w:type="table" w:styleId="TableGrid">
    <w:name w:val="Table Grid"/>
    <w:basedOn w:val="TableNormal"/>
    <w:uiPriority w:val="59"/>
    <w:pPr>
      <w:spacing w:after="0" w:line="240" w:lineRule="auto"/>
    </w:pPr>
    <w:tblPr>
      <w:tblInd w:w="0" w:type="dxa"/>
      <w:tblBorders>
        <w:top w:val="single" w:color="000000" w:themeColor="text1" w:sz="4" w:space="0"/>
        <w:left w:val="single" w:color="000000" w:themeColor="text1" w:sz="4" w:space="0"/>
        <w:bottom w:val="single" w:color="000000" w:themeColor="text1" w:sz="4" w:space="0"/>
        <w:right w:val="single" w:color="000000" w:themeColor="text1" w:sz="4" w:space="0"/>
        <w:insideH w:val="single" w:color="000000" w:themeColor="text1" w:sz="4" w:space="0"/>
        <w:insideV w:val="single" w:color="000000" w:themeColor="text1" w:sz="4" w:space="0"/>
      </w:tblBorders>
      <w:tblCellMar>
        <w:top w:w="0" w:type="dxa"/>
        <w:left w:w="108" w:type="dxa"/>
        <w:bottom w:w="0" w:type="dxa"/>
        <w:right w:w="108" w:type="dxa"/>
      </w:tblCellMar>
    </w:tblPr>
  </w:style>
  <w:style w:type="table" w:styleId="TableNormal" w:default="true">
    <w:name w:val="Normal Table"/>
    <w:uiPriority w:val="99"/>
    <w:semiHidden/>
    <w:unhideWhenUsed/>
    <w:qFormat/>
    <w:tblPr>
      <w:tblInd w:w="0" w:type="dxa"/>
      <w:tblCellMar>
        <w:top w:w="0" w:type="dxa"/>
        <w:left w:w="108" w:type="dxa"/>
        <w:bottom w:w="0" w:type="dxa"/>
        <w:right w:w="108" w:type="dxa"/>
      </w:tblCellMar>
    </w:tblPr>
  </w:style>
  <w:style w:type="paragraph" w:styleId="Caption">
    <w:name w:val="caption"/>
    <w:basedOn w:val="Normal"/>
    <w:next w:val="Normal"/>
    <w:uiPriority w:val="35"/>
    <w:semiHidden/>
    <w:unhideWhenUsed/>
    <w:qFormat/>
    <w:rsid w:val="007109C0"/>
    <w:pPr>
      <w:spacing w:line="240" w:lineRule="auto"/>
    </w:pPr>
    <w:rPr>
      <w:b/>
      <w:bCs/>
      <w:color w:val="4F81BD" w:themeColor="accent1"/>
      <w:sz w:val="18"/>
      <w:szCs w:val="18"/>
    </w:rPr>
  </w:style>
</w:styles>
</file>

<file path=word/_rels/document.xml.rels><?xml version="1.0" encoding="UTF-8" standalone="yes"?>
<Relationships xmlns="http://schemas.openxmlformats.org/package/2006/relationships">
    <Relationship Target="styles.xml" Type="http://schemas.openxmlformats.org/officeDocument/2006/relationships/styles" Id="rId1"/>
    <Relationship Target="settings.xml" Type="http://schemas.openxmlformats.org/officeDocument/2006/relationships/settings" Id="rId2"/>
    <Relationship Target="numbering.xml" Type="http://schemas.openxmlformats.org/officeDocument/2006/relationships/numbering" Id="rId3"/>
    <Relationship TargetMode="External" Target="https://www.legis.iowa.gov/docs/ico/chapter/17A.7.pdf" Type="http://schemas.openxmlformats.org/officeDocument/2006/relationships/hyperlink" Id="rId4"/>
    <Relationship TargetMode="External" Target="https://www.legis.iowa.gov/docs/ico/chapter/544A.pdf" Type="http://schemas.openxmlformats.org/officeDocument/2006/relationships/hyperlink" Id="rId5"/>
    <Relationship TargetMode="External" Target="https://www.legis.iowa.gov/docs/ico/chapter/544A.5.pdf" Type="http://schemas.openxmlformats.org/officeDocument/2006/relationships/hyperlink" Id="rId6"/>
    <Relationship TargetMode="External" Target="https://www.legis.iowa.gov/docs/ico/chapter/21.4.pdf" Type="http://schemas.openxmlformats.org/officeDocument/2006/relationships/hyperlink" Id="rId7"/>
    <Relationship TargetMode="External" Target="https://www.legis.iowa.gov/docs/iac/rule/481.1062.5.pdf" Type="http://schemas.openxmlformats.org/officeDocument/2006/relationships/hyperlink" Id="rId8"/>
    <Relationship TargetMode="External" Target="https://www.legis.iowa.gov/docs/ico/chapter/544A.5.pdf" Type="http://schemas.openxmlformats.org/officeDocument/2006/relationships/hyperlink" Id="rId9"/>
    <Relationship TargetMode="External" Target="https://www.legis.iowa.gov/docs/ico/chapter/544A.8-10.pdf" Type="http://schemas.openxmlformats.org/officeDocument/2006/relationships/hyperlink" Id="rId10"/>
    <Relationship TargetMode="External" Target="https://www.legis.iowa.gov/docs/ico/chapter/272C.4.pdf" Type="http://schemas.openxmlformats.org/officeDocument/2006/relationships/hyperlink" Id="rId11"/>
    <Relationship Target="footer.xml" Type="http://schemas.openxmlformats.org/officeDocument/2006/relationships/footer" Id="rId12"/>
</Relationships>

</file>

<file path=docProps/app.xml><?xml version="1.0" encoding="utf-8"?>
<properties:Properties xmlns:properties="http://schemas.openxmlformats.org/officeDocument/2006/extended-properties" xmlns:vt="http://schemas.openxmlformats.org/officeDocument/2006/docPropsVTypes"/>
</file>

<file path=docProps/core.xml><?xml version="1.0" encoding="utf-8"?>
<cp:coreProperties xmlns:cp="http://schemas.openxmlformats.org/package/2006/metadata/core-properties" xmlns:dcterms="http://purl.org/dc/terms/" xmlns:dc="http://purl.org/dc/elements/1.1/"/>
</file>