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1053</w:t>
      </w:r>
    </w:p>
    <w:p>
      <w:pPr>
        <w:spacing w:before="0" w:after="0"/>
        <w:ind w:left="120"/>
        <w:jc w:val="center"/>
      </w:pPr>
      <w:r>
        <w:rPr>
          <w:rFonts w:ascii="Times New Roman" w:hAnsi="Times New Roman"/>
          <w:b w:val="false"/>
          <w:i w:val="false"/>
          <w:color w:val="000000"/>
          <w:sz w:val="21"/>
        </w:rPr>
        <w:t>COMPLAINTS, INVESTIGATIONS AND DISCIPLINARY ACTION</w:t>
      </w:r>
    </w:p>
    <w:p>
      <w:pPr>
        <w:spacing w:before="0" w:after="0"/>
        <w:ind w:left="120"/>
        <w:jc w:val="center"/>
      </w:pPr>
      <w:r>
        <w:rPr>
          <w:rFonts w:ascii="Times New Roman" w:hAnsi="Times New Roman"/>
          <w:b w:val="false"/>
          <w:i w:val="false"/>
          <w:color w:val="000000"/>
          <w:sz w:val="14"/>
        </w:rPr>
        <w:t>[Prior to 11/14/01, see 193C—Chapter 4]</w:t>
      </w:r>
    </w:p>
    <w:p>
      <w:pPr>
        <w:spacing w:before="0" w:after="0"/>
        <w:ind w:left="120"/>
        <w:jc w:val="center"/>
      </w:pPr>
      <w:r>
        <w:rPr>
          <w:rFonts w:ascii="Times New Roman" w:hAnsi="Times New Roman"/>
          <w:b w:val="false"/>
          <w:i w:val="false"/>
          <w:color w:val="000000"/>
          <w:sz w:val="14"/>
        </w:rPr>
        <w:t>[Prior to 6/24/26, see Engineering and Land Surveying Examining Board[193C]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481—1053.1</w:t>
      </w:r>
      <w:r>
        <w:rPr>
          <w:rFonts w:ascii="Times New Roman" w:hAnsi="Times New Roman"/>
          <w:b/>
          <w:i w:val="false"/>
          <w:color w:val="000000"/>
          <w:sz w:val="22"/>
        </w:rPr>
        <w:t xml:space="preserve">(542B)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The board, upon receipt of a complaint or upon its own motion pursuant to other evidence received by the board, reviews and investigates alleged acts or omissions that reasonably constitute cause under applicable law or administrative rule for licensee discipline. Complaints may be submitted to the board office via the board’s website by members of the public, including clients, business organizations, nonprofit organizations, governmental bodies, licensees, or other individuals or entities with knowledge of possible violations of laws or rules by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1053.1(2)</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w:t>
      </w:r>
      <w:r>
        <w:rPr>
          <w:rFonts w:ascii="Times New Roman" w:hAnsi="Times New Roman"/>
          <w:b w:val="false"/>
          <w:i w:val="false"/>
          <w:color w:val="000000"/>
          <w:sz w:val="22"/>
        </w:rPr>
        <w:t>A written complaint may be submitted on forms available from the board office and on the board’s website. The written complaint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individual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that the complainant believes demonstrate that the respondent has violated or is violating laws or rules enforced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Citation of the statutes and administrative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that have been taken by the complainant to resolve the dispute with the respondent prior to the filing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1053.1(3)</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All written complaints received by the board are initially screened by the board’s administrator to determine whether the allegations of the complaint fall within the board’s investigatory jurisdiction and whether the facts presented, if true, would constitute a basis for disciplinary action against a licensee. Complaints that are clearly outside the board’s jurisdiction, which clearly do not allege facts upon which disciplinary action would be based, or that are frivolous will be referred by the board administrator to the board for closure at the next scheduled board meeting. All other complaints are referred by the board administrator to the board’s disciplinary committee for committee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1053.1(4)</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allegations. </w:t>
      </w:r>
      <w:r>
        <w:rPr>
          <w:rFonts w:ascii="Times New Roman" w:hAnsi="Times New Roman"/>
          <w:b w:val="false"/>
          <w:i w:val="false"/>
          <w:color w:val="000000"/>
          <w:sz w:val="22"/>
        </w:rPr>
        <w:t>In order to determine if probable cause exists for a hearing on the complaint, the board may cause an investigation to be made into the allegations of the complaint. It may refer the complaint to a peer review committee or investigator for investigation, review and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1053.1(5)</w:t>
      </w:r>
      <w:r>
        <w:rPr>
          <w:rFonts w:ascii="Times New Roman" w:hAnsi="Times New Roman"/>
          <w:b w:val="false"/>
          <w:i w:val="false"/>
          <w:color w:val="000000"/>
          <w:sz w:val="22"/>
        </w:rPr>
        <w:t> </w:t>
      </w:r>
      <w:r>
        <w:rPr>
          <w:rFonts w:ascii="Times New Roman" w:hAnsi="Times New Roman"/>
          <w:b w:val="false"/>
          <w:i/>
          <w:color w:val="000000"/>
          <w:sz w:val="22"/>
        </w:rPr>
        <w:t xml:space="preserve">Informal discussion. </w:t>
      </w:r>
      <w:r>
        <w:rPr>
          <w:rFonts w:ascii="Times New Roman" w:hAnsi="Times New Roman"/>
          <w:b w:val="false"/>
          <w:i w:val="false"/>
          <w:color w:val="000000"/>
          <w:sz w:val="22"/>
        </w:rPr>
        <w:t>If the board considers it advisable, or if requested by the affected licensee, the board may grant the licensee an opportunity to appear before the board or a committee of the board for a voluntary informal discussion of the facts and circumstances of an alleged violation. The licensee may be represented by legal counsel at the informal discussion. It is not necessary for the licensee to attend the informal discussion. By electing to attend, the licensee waives the right to seek disqualification, based upon personal investigation of a board member or staff, from participating in making a contested case decision or acting as a presiding officer in a later contested case proceeding. 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 The board may seek a consent order at the time of the informal discussion. If the parties agree to a consent order, a statement of charges will be filed simultaneously with the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1053.1(6)</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Complainants are immune from civil liability under Iowa Code section </w:t>
      </w:r>
      <w:hyperlink r:id="rId5">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1053.1(7)</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that the board may initiate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1053.1(8)</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481—1053.2</w:t>
      </w:r>
      <w:r>
        <w:rPr>
          <w:rFonts w:ascii="Times New Roman" w:hAnsi="Times New Roman"/>
          <w:b/>
          <w:i w:val="false"/>
          <w:color w:val="000000"/>
          <w:sz w:val="22"/>
        </w:rPr>
        <w:t xml:space="preserve">(542B) </w:t>
      </w:r>
      <w:r>
        <w:rPr>
          <w:rFonts w:ascii="Times New Roman" w:hAnsi="Times New Roman"/>
          <w:b/>
          <w:i w:val="false"/>
          <w:color w:val="000000"/>
          <w:sz w:val="22"/>
        </w:rPr>
        <w:t xml:space="preserve">Ruling on the initial inquiry.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1053.2(1)</w:t>
      </w:r>
      <w:r>
        <w:rPr>
          <w:rFonts w:ascii="Times New Roman" w:hAnsi="Times New Roman"/>
          <w:b w:val="false"/>
          <w:i w:val="false"/>
          <w:color w:val="000000"/>
          <w:sz w:val="22"/>
        </w:rPr>
        <w:t> </w:t>
      </w:r>
      <w:r>
        <w:rPr>
          <w:rFonts w:ascii="Times New Roman" w:hAnsi="Times New Roman"/>
          <w:b w:val="false"/>
          <w:i/>
          <w:color w:val="000000"/>
          <w:sz w:val="22"/>
        </w:rPr>
        <w:t xml:space="preserve">Dismissal. </w:t>
      </w:r>
      <w:r>
        <w:rPr>
          <w:rFonts w:ascii="Times New Roman" w:hAnsi="Times New Roman"/>
          <w:b w:val="false"/>
          <w:i w:val="false"/>
          <w:color w:val="000000"/>
          <w:sz w:val="22"/>
        </w:rPr>
        <w:t>If a determination is made by the board that a complaint is without grounds or merit, the complaint will be dismissed. A letter of explanation concerning the decision of the board will be sent to the respondent and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1053.2(2)</w:t>
      </w:r>
      <w:r>
        <w:rPr>
          <w:rFonts w:ascii="Times New Roman" w:hAnsi="Times New Roman"/>
          <w:b w:val="false"/>
          <w:i w:val="false"/>
          <w:color w:val="000000"/>
          <w:sz w:val="22"/>
        </w:rPr>
        <w:t> </w:t>
      </w:r>
      <w:r>
        <w:rPr>
          <w:rFonts w:ascii="Times New Roman" w:hAnsi="Times New Roman"/>
          <w:b w:val="false"/>
          <w:i/>
          <w:color w:val="000000"/>
          <w:sz w:val="22"/>
        </w:rPr>
        <w:t xml:space="preserve">Requirement of further inquiry. </w:t>
      </w:r>
      <w:r>
        <w:rPr>
          <w:rFonts w:ascii="Times New Roman" w:hAnsi="Times New Roman"/>
          <w:b w:val="false"/>
          <w:i w:val="false"/>
          <w:color w:val="000000"/>
          <w:sz w:val="22"/>
        </w:rPr>
        <w:t>If determination is made by the board to order further inquiry, the complaint and initial recommendations will be provided to the investigator(s) along with a statement specifying the information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1053.2(3)</w:t>
      </w:r>
      <w:r>
        <w:rPr>
          <w:rFonts w:ascii="Times New Roman" w:hAnsi="Times New Roman"/>
          <w:b w:val="false"/>
          <w:i w:val="false"/>
          <w:color w:val="000000"/>
          <w:sz w:val="22"/>
        </w:rPr>
        <w:t> </w:t>
      </w:r>
      <w:r>
        <w:rPr>
          <w:rFonts w:ascii="Times New Roman" w:hAnsi="Times New Roman"/>
          <w:b w:val="false"/>
          <w:i/>
          <w:color w:val="000000"/>
          <w:sz w:val="22"/>
        </w:rPr>
        <w:t xml:space="preserve">Acceptance of the case. </w:t>
      </w:r>
      <w:r>
        <w:rPr>
          <w:rFonts w:ascii="Times New Roman" w:hAnsi="Times New Roman"/>
          <w:b w:val="false"/>
          <w:i w:val="false"/>
          <w:color w:val="000000"/>
          <w:sz w:val="22"/>
        </w:rPr>
        <w:t xml:space="preserve">If a determination is made by the board to initiate disciplinary action, the board may enter into an informal settlement or recommend formal disciplinary proceedings. The board’s rules regarding informal settlement are found in rule </w:t>
      </w:r>
      <w:hyperlink r:id="rId6">
        <w:r>
          <w:rPr>
            <w:rStyle w:val="Hyperlink"/>
            <w:rFonts w:ascii="Times New Roman" w:hAnsi="Times New Roman"/>
            <w:b w:val="false"/>
            <w:i w:val="false"/>
            <w:color w:val="000000"/>
            <w:sz w:val="22"/>
          </w:rPr>
          <w:t>481—506.35</w:t>
        </w:r>
      </w:hyperlink>
      <w:r>
        <w:rPr>
          <w:rFonts w:ascii="Times New Roman" w:hAnsi="Times New Roman"/>
          <w:b w:val="false"/>
          <w:i w:val="false"/>
          <w:color w:val="000000"/>
          <w:sz w:val="22"/>
        </w:rPr>
        <w:t>(17A,272C).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542B.21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542B.22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481—1053.3</w:t>
      </w:r>
      <w:r>
        <w:rPr>
          <w:rFonts w:ascii="Times New Roman" w:hAnsi="Times New Roman"/>
          <w:b/>
          <w:i w:val="false"/>
          <w:color w:val="000000"/>
          <w:sz w:val="22"/>
        </w:rPr>
        <w:t xml:space="preserve">(10A,17A,272C,542B)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has authority pursuant to Iowa Code chapters </w:t>
      </w:r>
      <w:hyperlink r:id="rId10">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impose discipline for violations of those chapters and the rules promulgated thereunder and may initiate disciplinary action against a licensee holding an active, inactive or lapsed license on any of the grounds identified in Iowa Code section </w:t>
      </w:r>
      <w:hyperlink r:id="rId14">
        <w:r>
          <w:rPr>
            <w:rStyle w:val="Hyperlink"/>
            <w:rFonts w:ascii="Times New Roman" w:hAnsi="Times New Roman"/>
            <w:b w:val="false"/>
            <w:i w:val="false"/>
            <w:color w:val="000000"/>
            <w:sz w:val="22"/>
          </w:rPr>
          <w:t>542B.21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1053.3(1)</w:t>
      </w:r>
      <w:r>
        <w:rPr>
          <w:rFonts w:ascii="Times New Roman" w:hAnsi="Times New Roman"/>
          <w:b w:val="false"/>
          <w:i w:val="false"/>
          <w:color w:val="000000"/>
          <w:sz w:val="22"/>
        </w:rPr>
        <w:t> </w:t>
      </w:r>
      <w:r>
        <w:rPr>
          <w:rFonts w:ascii="Times New Roman" w:hAnsi="Times New Roman"/>
          <w:b w:val="false"/>
          <w:i w:val="false"/>
          <w:color w:val="000000"/>
          <w:sz w:val="22"/>
        </w:rPr>
        <w:t>Fraud or deceit in procuring or attempting to procure an initial, comity, renewal, or reinstated license includes any intentional perversion of or reckless disregard for the truth when an application, or information in support of another’s application, is submitted to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 of a material fact, whether by word or by conduct, by false or misleading allegation, or by concealment of that which should have been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any false or forged record or document, such as a college transcript, diploma or degree, examination report, verification of licensure, or continuing education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Reporting information, such as satisfaction of continuing education, in a false manner, through overt deceit, or with reckless disregard for the truth or accuracy of the information asserted.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Otherwise participating in any form of fraud or misrepresentation by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practice of engineering or land surveying.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practitioners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practitioner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conform to the minimum standards of acceptable and prevailing practice of engineering or land surveying in this state, including the land surveying standards set forth in Iowa Code chapters </w:t>
      </w:r>
      <w:hyperlink r:id="rId15">
        <w:r>
          <w:rPr>
            <w:rStyle w:val="Hyperlink"/>
            <w:rFonts w:ascii="Times New Roman" w:hAnsi="Times New Roman"/>
            <w:b w:val="false"/>
            <w:i w:val="false"/>
            <w:color w:val="000000"/>
            <w:sz w:val="22"/>
          </w:rPr>
          <w:t>354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355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481—Chapters 1055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1056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in engineering or land surveying practices that are outside the technical competence of the licensee without taking reasonable steps to associate with a competent licensee or other steps to ensure competent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act or omission that demonstrates an inability to safely practice in a manner protective of the public’s interest, including acts or omissions described in rule </w:t>
      </w:r>
      <w:hyperlink r:id="rId19">
        <w:r>
          <w:rPr>
            <w:rStyle w:val="Hyperlink"/>
            <w:rFonts w:ascii="Times New Roman" w:hAnsi="Times New Roman"/>
            <w:b w:val="false"/>
            <w:i w:val="false"/>
            <w:color w:val="000000"/>
            <w:sz w:val="22"/>
          </w:rPr>
          <w:t>481—1052.3</w:t>
        </w:r>
      </w:hyperlink>
      <w:r>
        <w:rPr>
          <w:rFonts w:ascii="Times New Roman" w:hAnsi="Times New Roman"/>
          <w:b w:val="false"/>
          <w:i w:val="false"/>
          <w:color w:val="000000"/>
          <w:sz w:val="22"/>
        </w:rPr>
        <w:t>(542B).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1053.3(3)</w:t>
      </w:r>
      <w:r>
        <w:rPr>
          <w:rFonts w:ascii="Times New Roman" w:hAnsi="Times New Roman"/>
          <w:b w:val="false"/>
          <w:i w:val="false"/>
          <w:color w:val="000000"/>
          <w:sz w:val="22"/>
        </w:rPr>
        <w:t> </w:t>
      </w:r>
      <w:r>
        <w:rPr>
          <w:rFonts w:ascii="Times New Roman" w:hAnsi="Times New Roman"/>
          <w:b w:val="false"/>
          <w:i w:val="false"/>
          <w:color w:val="000000"/>
          <w:sz w:val="22"/>
        </w:rPr>
        <w:t>Deceptive practices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engineering or land surveying.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Falsification of business or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 of false or misleading reports or information to the board, including information supplied in an audit of continuing education or as a condition of probation or in a reference submitted for an examination or a license applicant or in any reports identified in this rule or rule </w:t>
      </w:r>
      <w:hyperlink r:id="rId20">
        <w:r>
          <w:rPr>
            <w:rStyle w:val="Hyperlink"/>
            <w:rFonts w:ascii="Times New Roman" w:hAnsi="Times New Roman"/>
            <w:b w:val="false"/>
            <w:i w:val="false"/>
            <w:color w:val="000000"/>
            <w:sz w:val="22"/>
          </w:rPr>
          <w:t>481—1052.3</w:t>
        </w:r>
      </w:hyperlink>
      <w:r>
        <w:rPr>
          <w:rFonts w:ascii="Times New Roman" w:hAnsi="Times New Roman"/>
          <w:b w:val="false"/>
          <w:i w:val="false"/>
          <w:color w:val="000000"/>
          <w:sz w:val="22"/>
        </w:rPr>
        <w:t>(542B).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presenting as one’s own the license, signature, or seal of another or of a fictitious licensee, or otherwise falsely impersonating a person holding an engineering or land surveying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professional engineer or professional land surveyor after the license has been suspended, revoked, surrendered, or placed on inactive status or has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section </w:t>
      </w:r>
      <w:hyperlink r:id="rId21">
        <w:r>
          <w:rPr>
            <w:rStyle w:val="Hyperlink"/>
            <w:rFonts w:ascii="Times New Roman" w:hAnsi="Times New Roman"/>
            <w:b w:val="false"/>
            <w:i w:val="false"/>
            <w:color w:val="000000"/>
            <w:sz w:val="22"/>
          </w:rPr>
          <w:t>542B.16</w:t>
        </w:r>
      </w:hyperlink>
      <w:r>
        <w:rPr>
          <w:rFonts w:ascii="Times New Roman" w:hAnsi="Times New Roman"/>
          <w:b w:val="false"/>
          <w:i w:val="false"/>
          <w:color w:val="000000"/>
          <w:sz w:val="22"/>
        </w:rPr>
        <w:t xml:space="preserve"> or associated rules in </w:t>
      </w:r>
      <w:hyperlink r:id="rId22">
        <w:r>
          <w:rPr>
            <w:rStyle w:val="Hyperlink"/>
            <w:rFonts w:ascii="Times New Roman" w:hAnsi="Times New Roman"/>
            <w:b w:val="false"/>
            <w:i w:val="false"/>
            <w:color w:val="000000"/>
            <w:sz w:val="22"/>
          </w:rPr>
          <w:t>481—Chapter 1050</w:t>
        </w:r>
      </w:hyperlink>
      <w:r>
        <w:rPr>
          <w:rFonts w:ascii="Times New Roman" w:hAnsi="Times New Roman"/>
          <w:b w:val="false"/>
          <w:i w:val="false"/>
          <w:color w:val="000000"/>
          <w:sz w:val="22"/>
        </w:rPr>
        <w:t xml:space="preserve"> involving a licensee’s seal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1053.3(4)</w:t>
      </w:r>
      <w:r>
        <w:rPr>
          <w:rFonts w:ascii="Times New Roman" w:hAnsi="Times New Roman"/>
          <w:b w:val="false"/>
          <w:i w:val="false"/>
          <w:color w:val="000000"/>
          <w:sz w:val="22"/>
        </w:rPr>
        <w:t> </w:t>
      </w:r>
      <w:r>
        <w:rPr>
          <w:rFonts w:ascii="Times New Roman" w:hAnsi="Times New Roman"/>
          <w:b w:val="false"/>
          <w:i w:val="false"/>
          <w:color w:val="000000"/>
          <w:sz w:val="22"/>
        </w:rPr>
        <w:t>Behaviors and conduct that are unethical or harmful or detrimental to the public include, but are not limited to,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the code of professional conduct in </w:t>
      </w:r>
      <w:hyperlink r:id="rId23">
        <w:r>
          <w:rPr>
            <w:rStyle w:val="Hyperlink"/>
            <w:rFonts w:ascii="Times New Roman" w:hAnsi="Times New Roman"/>
            <w:b w:val="false"/>
            <w:i w:val="false"/>
            <w:color w:val="000000"/>
            <w:sz w:val="22"/>
          </w:rPr>
          <w:t>481—Chapter 1052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Verbal or physical abuse, or improper sexual contact, if such behavior occurs within the practice of engineering or land surveying or if such behavior otherwise provides a reasonable basis for the board to conclude that such behavior could occur within such practice and, if so, would place the public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Aiding or abetting a violation of a provision of Iowa Code section </w:t>
      </w:r>
      <w:hyperlink r:id="rId24">
        <w:r>
          <w:rPr>
            <w:rStyle w:val="Hyperlink"/>
            <w:rFonts w:ascii="Times New Roman" w:hAnsi="Times New Roman"/>
            <w:b w:val="false"/>
            <w:i w:val="false"/>
            <w:color w:val="000000"/>
            <w:sz w:val="22"/>
          </w:rPr>
          <w:t>542B.27(1)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1053.3(5)</w:t>
      </w:r>
      <w:r>
        <w:rPr>
          <w:rFonts w:ascii="Times New Roman" w:hAnsi="Times New Roman"/>
          <w:b w:val="false"/>
          <w:i w:val="false"/>
          <w:color w:val="000000"/>
          <w:sz w:val="22"/>
        </w:rPr>
        <w:t> </w:t>
      </w:r>
      <w:r>
        <w:rPr>
          <w:rFonts w:ascii="Times New Roman" w:hAnsi="Times New Roman"/>
          <w:b w:val="false"/>
          <w:i w:val="false"/>
          <w:color w:val="000000"/>
          <w:sz w:val="22"/>
        </w:rPr>
        <w:t xml:space="preserve">Lack of proper qualifications, as provided in Iowa Code section </w:t>
      </w:r>
      <w:hyperlink r:id="rId25">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“b,”</w:t>
      </w:r>
      <w:r>
        <w:rPr>
          <w:rFonts w:ascii="Times New Roman" w:hAnsi="Times New Roman"/>
          <w:b w:val="false"/>
          <w:i w:val="false"/>
          <w:color w:val="000000"/>
          <w:sz w:val="22"/>
        </w:rPr>
        <w:t xml:space="preserv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practice as an engineer or land surveyor without satisfying the continuing education required for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section </w:t>
      </w:r>
      <w:hyperlink r:id="rId26">
        <w:r>
          <w:rPr>
            <w:rStyle w:val="Hyperlink"/>
            <w:rFonts w:ascii="Times New Roman" w:hAnsi="Times New Roman"/>
            <w:b w:val="false"/>
            <w:i w:val="false"/>
            <w:color w:val="000000"/>
            <w:sz w:val="22"/>
          </w:rPr>
          <w:t>542B.21(4)</w:t>
        </w:r>
      </w:hyperlink>
      <w:r>
        <w:rPr>
          <w:rFonts w:ascii="Times New Roman" w:hAnsi="Times New Roman"/>
          <w:b w:val="false"/>
          <w:i w:val="false"/>
          <w:color w:val="000000"/>
          <w:sz w:val="22"/>
        </w:rPr>
        <w:t xml:space="preserve"> that adversely affects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1053.3(6)</w:t>
      </w:r>
      <w:r>
        <w:rPr>
          <w:rFonts w:ascii="Times New Roman" w:hAnsi="Times New Roman"/>
          <w:b w:val="false"/>
          <w:i w:val="false"/>
          <w:color w:val="000000"/>
          <w:sz w:val="22"/>
        </w:rPr>
        <w:t> </w:t>
      </w:r>
      <w:r>
        <w:rPr>
          <w:rFonts w:ascii="Times New Roman" w:hAnsi="Times New Roman"/>
          <w:b w:val="false"/>
          <w:i w:val="false"/>
          <w:color w:val="000000"/>
          <w:sz w:val="22"/>
        </w:rPr>
        <w:t>Professional misconduct, which includes, but is not limited to, revocation, suspension, or other disciplinary action taken against a licensee by a licensing authority of this state or another state, territory, or country. “Disciplinary action” includes a voluntary surrender of a license to resolve a pending disciplinary investigation or proceeding. A stay by an appellate court does not negate this requirement; however, if such disciplinary action is overturned or reversed by a court of last resort, discipline by the board based solely on such action shall be vacated. A licensee shall notify the board of such disciplinary action within 30 days of the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1053.3(7)</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include the willful or repeated violation or disregard of any provision of Iowa Code chapter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or any administrative rule adopted by the board in the administration or enforcement of such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1053.3(8)</w:t>
      </w:r>
      <w:r>
        <w:rPr>
          <w:rFonts w:ascii="Times New Roman" w:hAnsi="Times New Roman"/>
          <w:b w:val="false"/>
          <w:i w:val="false"/>
          <w:color w:val="000000"/>
          <w:sz w:val="22"/>
        </w:rPr>
        <w:t> </w:t>
      </w:r>
      <w:r>
        <w:rPr>
          <w:rFonts w:ascii="Times New Roman" w:hAnsi="Times New Roman"/>
          <w:b w:val="false"/>
          <w:i w:val="false"/>
          <w:color w:val="000000"/>
          <w:sz w:val="22"/>
        </w:rPr>
        <w:t>Conviction of felony includes the conviction of a felony under the laws of the United States, of any state or possession of the United States, or of any other country. The board will vacate any discipline based solely on a conviction, if that conviction is overturned or reversed by a court of last resort.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481—1053.4</w:t>
      </w:r>
      <w:r>
        <w:rPr>
          <w:rFonts w:ascii="Times New Roman" w:hAnsi="Times New Roman"/>
          <w:b/>
          <w:i w:val="false"/>
          <w:color w:val="000000"/>
          <w:sz w:val="22"/>
        </w:rPr>
        <w:t xml:space="preserve">(542B) </w:t>
      </w:r>
      <w:r>
        <w:rPr>
          <w:rFonts w:ascii="Times New Roman" w:hAnsi="Times New Roman"/>
          <w:b/>
          <w:i w:val="false"/>
          <w:color w:val="000000"/>
          <w:sz w:val="22"/>
        </w:rPr>
        <w:t xml:space="preserve">Disciplinary findings and sanctions. </w:t>
      </w:r>
      <w:r>
        <w:rPr>
          <w:rFonts w:ascii="Times New Roman" w:hAnsi="Times New Roman"/>
          <w:b w:val="false"/>
          <w:i w:val="false"/>
          <w:color w:val="000000"/>
          <w:sz w:val="22"/>
        </w:rPr>
        <w:t>The board’s decision may include one or more of the following findings or sanctions: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Exoneration of respondent.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Revocation of license.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Suspension of license until further order of the board or for a specified period.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Nonrenewal of license.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Prohibition, until further order of the board or for a specific period, of engaging in specified procedures, methods or acts.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Requirement of additional education or training.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Requirement of reexamination.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Issuance of a reprimand.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Imposition of civil penalties.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Issuance of citation and warning.</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Desk review.</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Other sanctions allowed by law as may be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481—1053.5</w:t>
      </w:r>
      <w:r>
        <w:rPr>
          <w:rFonts w:ascii="Times New Roman" w:hAnsi="Times New Roman"/>
          <w:b/>
          <w:i w:val="false"/>
          <w:color w:val="000000"/>
          <w:sz w:val="22"/>
        </w:rPr>
        <w:t xml:space="preserve">(272C) </w:t>
      </w:r>
      <w:r>
        <w:rPr>
          <w:rFonts w:ascii="Times New Roman" w:hAnsi="Times New Roman"/>
          <w:b/>
          <w:i w:val="false"/>
          <w:color w:val="000000"/>
          <w:sz w:val="22"/>
        </w:rPr>
        <w:t xml:space="preserve">Civil penalties. </w:t>
      </w:r>
      <w:r>
        <w:rPr>
          <w:rFonts w:ascii="Times New Roman" w:hAnsi="Times New Roman"/>
          <w:b w:val="false"/>
          <w:i w:val="false"/>
          <w:color w:val="000000"/>
          <w:sz w:val="22"/>
        </w:rPr>
        <w:t xml:space="preserve">In addition to other disciplinary options, the board may assess civil penalties of up to $1,000 per violation against licensees who violate any provision of rule </w:t>
      </w:r>
      <w:hyperlink r:id="rId29">
        <w:r>
          <w:rPr>
            <w:rStyle w:val="Hyperlink"/>
            <w:rFonts w:ascii="Times New Roman" w:hAnsi="Times New Roman"/>
            <w:b w:val="false"/>
            <w:i w:val="false"/>
            <w:color w:val="000000"/>
            <w:sz w:val="22"/>
          </w:rPr>
          <w:t>481—1053.3</w:t>
        </w:r>
      </w:hyperlink>
      <w:r>
        <w:rPr>
          <w:rFonts w:ascii="Times New Roman" w:hAnsi="Times New Roman"/>
          <w:b w:val="false"/>
          <w:i w:val="false"/>
          <w:color w:val="000000"/>
          <w:sz w:val="22"/>
        </w:rPr>
        <w:t>(10A,17A,272C,542B). Factors the board may consider when determining whether and in what amount to assess civil penalties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economic benefits gained by the licensee as a result of the violation.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Time elapsed since the violation occurred.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Whether the licensee acted in bad faith.</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The extent to which the licensee cooperated with the board.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Whether the licensee practiced professional engineering or professional land surveying with a lapsed, inactive, suspended or revoked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542B.22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481—1053.6</w:t>
      </w:r>
      <w:r>
        <w:rPr>
          <w:rFonts w:ascii="Times New Roman" w:hAnsi="Times New Roman"/>
          <w:b/>
          <w:i w:val="false"/>
          <w:color w:val="000000"/>
          <w:sz w:val="22"/>
        </w:rPr>
        <w:t xml:space="preserve">(542B) </w:t>
      </w:r>
      <w:r>
        <w:rPr>
          <w:rFonts w:ascii="Times New Roman" w:hAnsi="Times New Roman"/>
          <w:b/>
          <w:i w:val="false"/>
          <w:color w:val="000000"/>
          <w:sz w:val="22"/>
        </w:rPr>
        <w:t xml:space="preserve">Publication of decisions. </w:t>
      </w:r>
      <w:r>
        <w:rPr>
          <w:rFonts w:ascii="Times New Roman" w:hAnsi="Times New Roman"/>
          <w:b w:val="false"/>
          <w:i w:val="false"/>
          <w:color w:val="000000"/>
          <w:sz w:val="22"/>
        </w:rPr>
        <w:t xml:space="preserve">In addition to publication requirements found at </w:t>
      </w:r>
      <w:hyperlink r:id="rId31">
        <w:r>
          <w:rPr>
            <w:rStyle w:val="Hyperlink"/>
            <w:rFonts w:ascii="Times New Roman" w:hAnsi="Times New Roman"/>
            <w:b w:val="false"/>
            <w:i w:val="false"/>
            <w:color w:val="000000"/>
            <w:sz w:val="22"/>
          </w:rPr>
          <w:t>481—subrule 506.31</w:t>
        </w:r>
      </w:hyperlink>
      <w:r>
        <w:rPr>
          <w:rFonts w:ascii="Times New Roman" w:hAnsi="Times New Roman"/>
          <w:b w:val="false"/>
          <w:i w:val="false"/>
          <w:color w:val="000000"/>
          <w:sz w:val="22"/>
        </w:rPr>
        <w:t>, the following notifications shall be issued: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Following suspension of a professional land surveyor’s license, notification must be issued to the county recorders and county auditors of the county of residence and immediately adjacent counties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Following revocation of a professional land surveyor’s license, notification must be mailed to all county auditors in Iowa and the county recorders in the county of residence and immediately adjacent counties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Following the suspension or revocation of the license of a professional engineer or professional land surveyor, notification is issued to other boards of examiners for engineers and land surveyors under the jurisdiction of the government of the United States. This notification may be made through the National Council of Examiners for Engineering and Surveying or other national organizations recognized by the board. In addition, if the licensee is known to be registered in another nation in North America, the appropriate board(s) are notified of the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481—1053.7</w:t>
      </w:r>
      <w:r>
        <w:rPr>
          <w:rFonts w:ascii="Times New Roman" w:hAnsi="Times New Roman"/>
          <w:b/>
          <w:i w:val="false"/>
          <w:color w:val="000000"/>
          <w:sz w:val="22"/>
        </w:rPr>
        <w:t xml:space="preserve">(542B) </w:t>
      </w:r>
      <w:r>
        <w:rPr>
          <w:rFonts w:ascii="Times New Roman" w:hAnsi="Times New Roman"/>
          <w:b/>
          <w:i w:val="false"/>
          <w:color w:val="000000"/>
          <w:sz w:val="22"/>
        </w:rPr>
        <w:t xml:space="preserve">Disputes between licensees and clients. </w:t>
      </w:r>
      <w:r>
        <w:rPr>
          <w:rFonts w:ascii="Times New Roman" w:hAnsi="Times New Roman"/>
          <w:b w:val="false"/>
          <w:i w:val="false"/>
          <w:color w:val="000000"/>
          <w:sz w:val="22"/>
        </w:rPr>
        <w:t>Reports from the insurance commissioner or other agencies on the results of judgments or settlements of disputes arising from malpractice claims or other actions between professional engineers or professional land surveyors and their clients may be referred to counsel or peer review committee. The counsel or peer review committee will investigate the report for violation of the statutes or rules governing the practice or conduct of the licensee. The counsel or peer review committee will advise the board of any probable violations or any further action required or recommend dismissal from further consideration.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481—1053.8</w:t>
      </w:r>
      <w:r>
        <w:rPr>
          <w:rFonts w:ascii="Times New Roman" w:hAnsi="Times New Roman"/>
          <w:b/>
          <w:i w:val="false"/>
          <w:color w:val="000000"/>
          <w:sz w:val="22"/>
        </w:rPr>
        <w:t xml:space="preserve">(272C,542B) </w:t>
      </w:r>
      <w:r>
        <w:rPr>
          <w:rFonts w:ascii="Times New Roman" w:hAnsi="Times New Roman"/>
          <w:b/>
          <w:i w:val="false"/>
          <w:color w:val="000000"/>
          <w:sz w:val="22"/>
        </w:rPr>
        <w:t xml:space="preserve">Confidentiality of complaint and investigative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1053.8(1)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 xml:space="preserve">All complaint and investigative information received or created by the board is privileged and confidential pursuant to Iowa Code section </w:t>
      </w:r>
      <w:hyperlink r:id="rId3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Such information shall not be released to any person except as provided in that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1053.8(2)</w:t>
      </w:r>
      <w:r>
        <w:rPr>
          <w:rFonts w:ascii="Times New Roman" w:hAnsi="Times New Roman"/>
          <w:b w:val="false"/>
          <w:i w:val="false"/>
          <w:color w:val="000000"/>
          <w:sz w:val="22"/>
        </w:rPr>
        <w:t> </w:t>
      </w:r>
      <w:r>
        <w:rPr>
          <w:rFonts w:ascii="Times New Roman" w:hAnsi="Times New Roman"/>
          <w:b w:val="false"/>
          <w:i/>
          <w:color w:val="000000"/>
          <w:sz w:val="22"/>
        </w:rPr>
        <w:t xml:space="preserve">Disclosure to the subject of the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Legal authority. </w:t>
      </w:r>
      <w:r>
        <w:rPr>
          <w:rFonts w:ascii="Times New Roman" w:hAnsi="Times New Roman"/>
          <w:b w:val="false"/>
          <w:i w:val="false"/>
          <w:color w:val="000000"/>
          <w:sz w:val="22"/>
        </w:rPr>
        <w:t xml:space="preserve">Pursuant to Iowa Code section </w:t>
      </w:r>
      <w:hyperlink r:id="rId33">
        <w:r>
          <w:rPr>
            <w:rStyle w:val="Hyperlink"/>
            <w:rFonts w:ascii="Times New Roman" w:hAnsi="Times New Roman"/>
            <w:b w:val="false"/>
            <w:i w:val="false"/>
            <w:color w:val="000000"/>
            <w:sz w:val="22"/>
          </w:rPr>
          <w:t>10A.506(9)</w:t>
        </w:r>
      </w:hyperlink>
      <w:r>
        <w:rPr>
          <w:rFonts w:ascii="Times New Roman" w:hAnsi="Times New Roman"/>
          <w:b w:val="false"/>
          <w:i w:val="false"/>
          <w:color w:val="000000"/>
          <w:sz w:val="22"/>
        </w:rPr>
        <w:t>, the board may supply to a licensee who is the subject of a disciplinary complaint or investigation, prior to the initiation of a disciplinary proceeding, all or such parts of a disciplinary complaint, disciplinary or investigatory file, report, or other information as the board in its sole discretion believes would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As a matter of general policy, the board will not disclose confidential complaint and investigative information to a licensee except as permitted by Iowa Code section </w:t>
      </w:r>
      <w:hyperlink r:id="rId3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Disclosure of a complainant’s identity in advance of the filing of formal disciplinary charges, for instance, may adversely affect a complainant’s willingness to file a complaint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Exceptions to general rule. </w:t>
      </w:r>
      <w:r>
        <w:rPr>
          <w:rFonts w:ascii="Times New Roman" w:hAnsi="Times New Roman"/>
          <w:b w:val="false"/>
          <w:i w:val="false"/>
          <w:color w:val="000000"/>
          <w:sz w:val="22"/>
        </w:rPr>
        <w:t xml:space="preserve">The board may exercise its discretion to release information to a licensee that would otherwise be confidential under Iowa Code section </w:t>
      </w:r>
      <w:hyperlink r:id="rId35">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under narrow circumstances,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a board determination that probable cause exists to file disciplinary charges against a licensee and prior to the issuance of the notice of hearing, the board may provide the licensee with a peer review or investigative report or expert opinions as reasonably needed for the licensee to assess the merits of a settlement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release to a licensee who is the subject of a board-initiated investigation, including those initiated following the board’s receipt of an anonymous complaint, such records or information as may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may release information from a peer review or consultant’s report when soliciting the licensee’s position will aid in making the probable cause determination and such disclosure can be made to the licensee without revealing identifying information regarding the complainant, peer reviewer or consultant.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37">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542B.22</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12/8/78, Notice 8/9/78—published 12/27/78, effective 1/31/79]</w:t>
      </w:r>
    </w:p>
    <w:p>
      <w:pPr>
        <w:spacing w:before="0" w:after="0"/>
        <w:ind w:left="120"/>
        <w:jc w:val="center"/>
      </w:pPr>
      <w:r>
        <w:rPr>
          <w:rFonts w:ascii="Times New Roman" w:hAnsi="Times New Roman"/>
          <w:b w:val="false"/>
          <w:i w:val="false"/>
          <w:color w:val="000000"/>
          <w:sz w:val="21"/>
        </w:rPr>
        <w:t>[Filed 1/4/79, Notice 10/18/78—published 1/24/79, effective 2/28/79]</w:t>
      </w:r>
    </w:p>
    <w:p>
      <w:pPr>
        <w:spacing w:before="0" w:after="0"/>
        <w:ind w:left="120"/>
        <w:jc w:val="center"/>
      </w:pPr>
      <w:r>
        <w:rPr>
          <w:rFonts w:ascii="Times New Roman" w:hAnsi="Times New Roman"/>
          <w:b w:val="false"/>
          <w:i w:val="false"/>
          <w:color w:val="000000"/>
          <w:sz w:val="21"/>
        </w:rPr>
        <w:t>[Filed 7/20/79, Notice 4/18/79—published 8/8/79, effective 9/12/79]</w:t>
      </w:r>
    </w:p>
    <w:p>
      <w:pPr>
        <w:spacing w:before="0" w:after="0"/>
        <w:ind w:left="120"/>
        <w:jc w:val="center"/>
      </w:pPr>
      <w:r>
        <w:rPr>
          <w:rFonts w:ascii="Times New Roman" w:hAnsi="Times New Roman"/>
          <w:b w:val="false"/>
          <w:i w:val="false"/>
          <w:color w:val="000000"/>
          <w:sz w:val="21"/>
        </w:rPr>
        <w:t>[Filed 12/21/84, Notice 7/18/84—published 1/16/85, effective 2/20/85]</w:t>
      </w:r>
    </w:p>
    <w:p>
      <w:pPr>
        <w:spacing w:before="0" w:after="0"/>
        <w:ind w:left="120"/>
        <w:jc w:val="center"/>
      </w:pPr>
      <w:r>
        <w:rPr>
          <w:rFonts w:ascii="Times New Roman" w:hAnsi="Times New Roman"/>
          <w:b w:val="false"/>
          <w:i w:val="false"/>
          <w:color w:val="000000"/>
          <w:sz w:val="21"/>
        </w:rPr>
        <w:t>[Filed 9/5/85, Notice 7/31/85—published 9/25/85, effective 10/30/85]</w:t>
      </w:r>
    </w:p>
    <w:p>
      <w:pPr>
        <w:spacing w:before="0" w:after="0"/>
        <w:ind w:left="120"/>
        <w:jc w:val="center"/>
      </w:pPr>
      <w:r>
        <w:rPr>
          <w:rFonts w:ascii="Times New Roman" w:hAnsi="Times New Roman"/>
          <w:b w:val="false"/>
          <w:i w:val="false"/>
          <w:color w:val="000000"/>
          <w:sz w:val="21"/>
        </w:rPr>
        <w:t xml:space="preserve">[Filed 5/13/88, Notice 3/9/88—published 6/1/88, effective 7/6/88] </w:t>
      </w:r>
    </w:p>
    <w:p>
      <w:pPr>
        <w:spacing w:before="0" w:after="0"/>
        <w:ind w:left="120"/>
        <w:jc w:val="center"/>
      </w:pPr>
      <w:r>
        <w:rPr>
          <w:rFonts w:ascii="Times New Roman" w:hAnsi="Times New Roman"/>
          <w:b w:val="false"/>
          <w:i w:val="false"/>
          <w:color w:val="000000"/>
          <w:sz w:val="21"/>
        </w:rPr>
        <w:t>[Filed 11/4/91, Notice 8/21/91—published 11/27/91, effective 1/1/92]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6/3/94, Notice 3/30/94—published 6/22/94, effective 7/27/94]</w:t>
      </w:r>
    </w:p>
    <w:p>
      <w:pPr>
        <w:spacing w:before="0" w:after="0"/>
        <w:ind w:left="120"/>
        <w:jc w:val="center"/>
      </w:pPr>
      <w:r>
        <w:rPr>
          <w:rFonts w:ascii="Times New Roman" w:hAnsi="Times New Roman"/>
          <w:b w:val="false"/>
          <w:i w:val="false"/>
          <w:color w:val="000000"/>
          <w:sz w:val="21"/>
        </w:rPr>
        <w:t>[Filed 11/4/94, Notice 6/22/94—published 11/23/94, effective 12/28/94]</w:t>
      </w:r>
    </w:p>
    <w:p>
      <w:pPr>
        <w:spacing w:before="0" w:after="0"/>
        <w:ind w:left="120"/>
        <w:jc w:val="center"/>
      </w:pPr>
      <w:r>
        <w:rPr>
          <w:rFonts w:ascii="Times New Roman" w:hAnsi="Times New Roman"/>
          <w:b w:val="false"/>
          <w:i w:val="false"/>
          <w:color w:val="000000"/>
          <w:sz w:val="21"/>
        </w:rPr>
        <w:t>[Filed 5/2/96, Notice 1/3/96—published 5/22/96, effective 6/26/96]</w:t>
      </w:r>
    </w:p>
    <w:p>
      <w:pPr>
        <w:spacing w:before="0" w:after="0"/>
        <w:ind w:left="120"/>
        <w:jc w:val="center"/>
      </w:pPr>
      <w:r>
        <w:rPr>
          <w:rFonts w:ascii="Times New Roman" w:hAnsi="Times New Roman"/>
          <w:b w:val="false"/>
          <w:i w:val="false"/>
          <w:color w:val="000000"/>
          <w:sz w:val="21"/>
        </w:rPr>
        <w:t>[Filed 3/6/97, Notice 11/20/96—published 3/26/97, effective 4/30/97]</w:t>
      </w:r>
    </w:p>
    <w:p>
      <w:pPr>
        <w:spacing w:before="0" w:after="0"/>
        <w:ind w:left="120"/>
        <w:jc w:val="center"/>
      </w:pPr>
      <w:r>
        <w:rPr>
          <w:rFonts w:ascii="Times New Roman" w:hAnsi="Times New Roman"/>
          <w:b w:val="false"/>
          <w:i w:val="false"/>
          <w:color w:val="000000"/>
          <w:sz w:val="21"/>
        </w:rPr>
        <w:t>[Filed 2/6/98, Notice 12/3/97—published 2/25/98, effective 4/1/98]</w:t>
      </w:r>
    </w:p>
    <w:p>
      <w:pPr>
        <w:spacing w:before="0" w:after="0"/>
        <w:ind w:left="120"/>
        <w:jc w:val="center"/>
      </w:pPr>
      <w:r>
        <w:rPr>
          <w:rFonts w:ascii="Times New Roman" w:hAnsi="Times New Roman"/>
          <w:b w:val="false"/>
          <w:i w:val="false"/>
          <w:color w:val="000000"/>
          <w:sz w:val="21"/>
        </w:rPr>
        <w:t>[Filed 10/1/98, Notice 8/12/98—published 10/21/98, effective 11/25/98]</w:t>
      </w:r>
    </w:p>
    <w:p>
      <w:pPr>
        <w:spacing w:before="0" w:after="0"/>
        <w:ind w:left="120"/>
        <w:jc w:val="center"/>
      </w:pPr>
      <w:r>
        <w:rPr>
          <w:rFonts w:ascii="Times New Roman" w:hAnsi="Times New Roman"/>
          <w:b w:val="false"/>
          <w:i w:val="false"/>
          <w:color w:val="000000"/>
          <w:sz w:val="21"/>
        </w:rPr>
        <w:t>[Filed 4/15/99, Notice 3/10/99—published 5/5/99, effective 6/9/99]</w:t>
      </w:r>
    </w:p>
    <w:p>
      <w:pPr>
        <w:spacing w:before="0" w:after="0"/>
        <w:ind w:left="120"/>
        <w:jc w:val="center"/>
      </w:pPr>
      <w:r>
        <w:rPr>
          <w:rFonts w:ascii="Times New Roman" w:hAnsi="Times New Roman"/>
          <w:b w:val="false"/>
          <w:i w:val="false"/>
          <w:color w:val="000000"/>
          <w:sz w:val="21"/>
        </w:rPr>
        <w:t>[Filed 7/23/99, Notice 6/16/99—published 8/11/99, effective 9/15/99]</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11/29/06, Notice 8/16/06—published 12/20/06, effective 1/24/07]</w:t>
      </w:r>
    </w:p>
    <w:p>
      <w:pPr>
        <w:spacing w:before="0" w:after="0"/>
        <w:ind w:left="120"/>
        <w:jc w:val="center"/>
      </w:pPr>
      <w:r>
        <w:rPr>
          <w:rFonts w:ascii="Times New Roman" w:hAnsi="Times New Roman"/>
          <w:b w:val="false"/>
          <w:i w:val="false"/>
          <w:color w:val="000000"/>
          <w:sz w:val="21"/>
        </w:rPr>
        <w:t>[Filed 2/20/08, Notice 10/24/07—published 3/12/08, effective 4/16/08]</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2022C</w:t>
      </w:r>
      <w:r>
        <w:rPr>
          <w:rFonts w:ascii="Times New Roman" w:hAnsi="Times New Roman"/>
          <w:b w:val="false"/>
          <w:i w:val="false"/>
          <w:color w:val="000000"/>
          <w:sz w:val="21"/>
        </w:rPr>
        <w:t xml:space="preserve"> (Notice ARC 1886C, IAB 2/18/15)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7672C</w:t>
      </w:r>
      <w:r>
        <w:rPr>
          <w:rFonts w:ascii="Times New Roman" w:hAnsi="Times New Roman"/>
          <w:b w:val="false"/>
          <w:i w:val="false"/>
          <w:color w:val="000000"/>
          <w:sz w:val="21"/>
        </w:rPr>
        <w:t xml:space="preserve"> (Notice ARC 7412C,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4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8.pdf" Type="http://schemas.openxmlformats.org/officeDocument/2006/relationships/hyperlink" Id="rId5"/>
    <Relationship TargetMode="External" Target="https://www.legis.iowa.gov/docs/iac/rule/481.506.35.pdf" Type="http://schemas.openxmlformats.org/officeDocument/2006/relationships/hyperlink" Id="rId6"/>
    <Relationship TargetMode="External" Target="https://www.legis.iowa.gov/docs/ico/chapter/542B.21.pdf" Type="http://schemas.openxmlformats.org/officeDocument/2006/relationships/hyperlink" Id="rId7"/>
    <Relationship TargetMode="External" Target="https://www.legis.iowa.gov/docs/ico/chapter/542B.22.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co/chapter/10A.pdf" Type="http://schemas.openxmlformats.org/officeDocument/2006/relationships/hyperlink" Id="rId10"/>
    <Relationship TargetMode="External" Target="https://www.legis.iowa.gov/docs/ico/chapter/542B.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co/chapter/542B.21.pdf" Type="http://schemas.openxmlformats.org/officeDocument/2006/relationships/hyperlink" Id="rId14"/>
    <Relationship TargetMode="External" Target="https://www.legis.iowa.gov/docs/ico/chapter/354.pdf" Type="http://schemas.openxmlformats.org/officeDocument/2006/relationships/hyperlink" Id="rId15"/>
    <Relationship TargetMode="External" Target="https://www.legis.iowa.gov/docs/ico/chapter/355.pdf" Type="http://schemas.openxmlformats.org/officeDocument/2006/relationships/hyperlink" Id="rId16"/>
    <Relationship TargetMode="External" Target="https://www.legis.iowa.gov/docs/iac/chapter/481.1055.pdf" Type="http://schemas.openxmlformats.org/officeDocument/2006/relationships/hyperlink" Id="rId17"/>
    <Relationship TargetMode="External" Target="https://www.legis.iowa.gov/docs/iac/chapter/481.1056.pdf" Type="http://schemas.openxmlformats.org/officeDocument/2006/relationships/hyperlink" Id="rId18"/>
    <Relationship TargetMode="External" Target="https://www.legis.iowa.gov/docs/iac/rule/481.1052.3.pdf" Type="http://schemas.openxmlformats.org/officeDocument/2006/relationships/hyperlink" Id="rId19"/>
    <Relationship TargetMode="External" Target="https://www.legis.iowa.gov/docs/iac/rule/481.1052.3.pdf" Type="http://schemas.openxmlformats.org/officeDocument/2006/relationships/hyperlink" Id="rId20"/>
    <Relationship TargetMode="External" Target="https://www.legis.iowa.gov/docs/ico/chapter/542B.16.pdf" Type="http://schemas.openxmlformats.org/officeDocument/2006/relationships/hyperlink" Id="rId21"/>
    <Relationship TargetMode="External" Target="https://www.legis.iowa.gov/docs/iac/chapter/481.1050.pdf" Type="http://schemas.openxmlformats.org/officeDocument/2006/relationships/hyperlink" Id="rId22"/>
    <Relationship TargetMode="External" Target="https://www.legis.iowa.gov/docs/iac/chapter/481.1052.pdf" Type="http://schemas.openxmlformats.org/officeDocument/2006/relationships/hyperlink" Id="rId23"/>
    <Relationship TargetMode="External" Target="https://www.legis.iowa.gov/docs/ico/chapter/542B.27.pdf" Type="http://schemas.openxmlformats.org/officeDocument/2006/relationships/hyperlink" Id="rId24"/>
    <Relationship TargetMode="External" Target="https://www.legis.iowa.gov/docs/ico/chapter/272C.3.pdf" Type="http://schemas.openxmlformats.org/officeDocument/2006/relationships/hyperlink" Id="rId25"/>
    <Relationship TargetMode="External" Target="https://www.legis.iowa.gov/docs/ico/chapter/542B.21.pdf" Type="http://schemas.openxmlformats.org/officeDocument/2006/relationships/hyperlink" Id="rId26"/>
    <Relationship TargetMode="External" Target="https://www.legis.iowa.gov/docs/ico/chapter/272C.pdf" Type="http://schemas.openxmlformats.org/officeDocument/2006/relationships/hyperlink" Id="rId27"/>
    <Relationship TargetMode="External" Target="https://www.legis.iowa.gov/docs/ico/chapter/542B.pdf" Type="http://schemas.openxmlformats.org/officeDocument/2006/relationships/hyperlink" Id="rId28"/>
    <Relationship TargetMode="External" Target="https://www.legis.iowa.gov/docs/iac/rule/481.1053.3.pdf" Type="http://schemas.openxmlformats.org/officeDocument/2006/relationships/hyperlink" Id="rId29"/>
    <Relationship TargetMode="External" Target="https://www.legis.iowa.gov/docs/ico/chapter/542B.22.pdf" Type="http://schemas.openxmlformats.org/officeDocument/2006/relationships/hyperlink" Id="rId30"/>
    <Relationship TargetMode="External" Target="https://www.legis.iowa.gov/docs/iac/rule/481.506.31.pdf" Type="http://schemas.openxmlformats.org/officeDocument/2006/relationships/hyperlink" Id="rId31"/>
    <Relationship TargetMode="External" Target="https://www.legis.iowa.gov/docs/ico/chapter/272C.6.pdf" Type="http://schemas.openxmlformats.org/officeDocument/2006/relationships/hyperlink" Id="rId32"/>
    <Relationship TargetMode="External" Target="https://www.legis.iowa.gov/docs/ico/chapter/10A.506.pdf" Type="http://schemas.openxmlformats.org/officeDocument/2006/relationships/hyperlink" Id="rId33"/>
    <Relationship TargetMode="External" Target="https://www.legis.iowa.gov/docs/ico/chapter/272C.6.pdf" Type="http://schemas.openxmlformats.org/officeDocument/2006/relationships/hyperlink" Id="rId34"/>
    <Relationship TargetMode="External" Target="https://www.legis.iowa.gov/docs/ico/chapter/272C.6.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542B.2.pdf" Type="http://schemas.openxmlformats.org/officeDocument/2006/relationships/hyperlink" Id="rId37"/>
    <Relationship TargetMode="External" Target="https://www.legis.iowa.gov/docs/ico/chapter/542B.22.pdf" Type="http://schemas.openxmlformats.org/officeDocument/2006/relationships/hyperlink" Id="rId38"/>
    <Relationship TargetMode="External" Target="https://www.legis.iowa.gov/docs/ico/chapter/272C.6.pdf" Type="http://schemas.openxmlformats.org/officeDocument/2006/relationships/hyperlink" Id="rId39"/>
    <Relationship Target="footer.xml" Type="http://schemas.openxmlformats.org/officeDocument/2006/relationships/footer"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