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1049</w:t>
      </w:r>
    </w:p>
    <w:p>
      <w:pPr>
        <w:spacing w:before="0" w:after="0"/>
        <w:ind w:left="120"/>
        <w:jc w:val="center"/>
      </w:pPr>
      <w:r>
        <w:rPr>
          <w:rFonts w:ascii="Times New Roman" w:hAnsi="Times New Roman"/>
          <w:b w:val="false"/>
          <w:i w:val="false"/>
          <w:color w:val="000000"/>
          <w:sz w:val="21"/>
        </w:rPr>
        <w:t>LAND SURVEYING LICENSURE</w:t>
      </w:r>
    </w:p>
    <w:p>
      <w:pPr>
        <w:spacing w:before="0" w:after="0"/>
        <w:ind w:left="120"/>
        <w:jc w:val="center"/>
      </w:pPr>
      <w:r>
        <w:rPr>
          <w:rFonts w:ascii="Times New Roman" w:hAnsi="Times New Roman"/>
          <w:b w:val="false"/>
          <w:i w:val="false"/>
          <w:color w:val="000000"/>
          <w:sz w:val="14"/>
        </w:rPr>
        <w:t>[Prior to 11/14/01, see 193C—1.4(542B)]</w:t>
      </w:r>
    </w:p>
    <w:p>
      <w:pPr>
        <w:spacing w:before="0" w:after="0"/>
        <w:ind w:left="120"/>
        <w:jc w:val="center"/>
      </w:pPr>
      <w:r>
        <w:rPr>
          <w:rFonts w:ascii="Times New Roman" w:hAnsi="Times New Roman"/>
          <w:b w:val="false"/>
          <w:i w:val="false"/>
          <w:color w:val="000000"/>
          <w:sz w:val="14"/>
        </w:rPr>
        <w:t>[Prior to 6/24/26, see Engineering and Land Surveying Examining Board[193C]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481—1049.1</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examination. </w:t>
      </w:r>
      <w:r>
        <w:rPr>
          <w:rFonts w:ascii="Times New Roman" w:hAnsi="Times New Roman"/>
          <w:b w:val="false"/>
          <w:i w:val="false"/>
          <w:color w:val="000000"/>
          <w:sz w:val="22"/>
        </w:rPr>
        <w:t xml:space="preserve">The specific requirements for initial licensing in Iowa are established in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and it is the board’s intention to issue initial licensure only when those requirements are satisfied chronologically as set forth in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initial licensure in Iowa must satisfy the education plus experience requirements stated in Iowa Code section </w:t>
      </w:r>
      <w:hyperlink r:id="rId6">
        <w:r>
          <w:rPr>
            <w:rStyle w:val="Hyperlink"/>
            <w:rFonts w:ascii="Times New Roman" w:hAnsi="Times New Roman"/>
            <w:b w:val="false"/>
            <w:i w:val="false"/>
            <w:color w:val="000000"/>
            <w:sz w:val="22"/>
          </w:rPr>
          <w:t>542B.14</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chart in subrule </w:t>
      </w:r>
      <w:hyperlink r:id="rId7">
        <w:r>
          <w:rPr>
            <w:rStyle w:val="Hyperlink"/>
            <w:rFonts w:ascii="Times New Roman" w:hAnsi="Times New Roman"/>
            <w:b w:val="false"/>
            <w:i w:val="false"/>
            <w:color w:val="000000"/>
            <w:sz w:val="22"/>
          </w:rPr>
          <w:t>1049.1(8)</w:t>
        </w:r>
      </w:hyperlink>
      <w:r>
        <w:rPr>
          <w:rFonts w:ascii="Times New Roman" w:hAnsi="Times New Roman"/>
          <w:b w:val="false"/>
          <w:i w:val="false"/>
          <w:color w:val="000000"/>
          <w:sz w:val="22"/>
        </w:rPr>
        <w:t xml:space="preserve"> details education-based experience requirements. If the applicant’s degree is not in surveying, surveying technology, engineering, or engineering technology, the applicant must have taken a minimum of nine credit hours in mathematics, of which at least one course must include trigonometry in its coursework, and may include college algebra, trigonometry, analytic geometry, differential and integral calculus, linear algebra, numerical analysis, probability and statistics, and advanced calculus; and a minimum of nine credit hours in basic sciences, which must cover one or more of the following topics: general chemistry, advanced chemistry, biology, geology, ecology, meteorology, astronomy, forestry, general physics, advanced physics, or land surveying, for the applicant’s degree to be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 or the degree is evaluated as substantially equivalent to that of an accredited program by the National Council of Examiners for Engineering and Surveying (NCEES). The board may accept evaluations from other recognized foreign credential evaluators satisfactory to the board. Initiating the evaluation and the expense of the evaluation are the responsibilities of the applicant. Each evaluation shall be sent directly to the board from the evaluation service and shall include a copy of the transcript in the form sent to the evaluation service directly from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complete the Fundamentals of Land Surveying examination. The applicant may take the Fundamentals of Land Surveying examination any time after the education and experience requirements described above are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Principles and Practice of Land Surveying examination. An applicant may take the Principles and Practice of Land Surveying examination after passing the Fundamentals of Land Surveying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1049.1(4)</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the qualifying experience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1049.1(5)</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Iowa-specific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1049.1(6)</w:t>
      </w:r>
      <w:r>
        <w:rPr>
          <w:rFonts w:ascii="Times New Roman" w:hAnsi="Times New Roman"/>
          <w:b w:val="false"/>
          <w:i w:val="false"/>
          <w:color w:val="000000"/>
          <w:sz w:val="22"/>
        </w:rPr>
        <w:t> </w:t>
      </w:r>
      <w:r>
        <w:rPr>
          <w:rFonts w:ascii="Times New Roman" w:hAnsi="Times New Roman"/>
          <w:b w:val="false"/>
          <w:i w:val="false"/>
          <w:color w:val="000000"/>
          <w:sz w:val="22"/>
        </w:rPr>
        <w:t>Work project description. A complete application includes a statement of approximately 200 words describing a significant project on which the applicant worked closely during the last 12 months. The statement describes the applicant’s degree of responsibility for the project and identifies the project’s owner and its location. The statement is signed and dated. The 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has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The board reserves the right to contact the employer and the person providing tutelage on the project for information about the project experience presented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1049.1(7)</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the Principles and Practice of Land Surveying examination will submit a minimum of three references, on forms provided by the board,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references will be from licensed professional land surveyors.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are from a supervisor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provides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contact employers for information about the applicant’s professional experience and competence or to request additional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Fundamentals of Land Surveying examination will provide three references on forms provided by the board. </w:t>
      </w:r>
    </w:p>
    <w:p>
      <w:pPr>
        <w:spacing w:before="0" w:after="0"/>
        <w:ind w:left="120"/>
        <w:jc w:val="both"/>
      </w:pPr>
      <w:r>
        <w:rPr>
          <w:rFonts w:ascii="Times New Roman" w:hAnsi="Times New Roman"/>
          <w:b/>
          <w:i w:val="false"/>
          <w:color w:val="000000"/>
          <w:sz w:val="22"/>
        </w:rPr>
        <w:t>1049.1(8)</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requires the minimum number of years set forth on the following chart before an applicant may take either the Fundamentals of Land Surveying or the Principles and Practice of Land Surveying examination. To determine the total years to become licensed as a land surveyor in Iowa,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55"/>
        <w:gridCol w:w="3640"/>
        <w:gridCol w:w="3520"/>
      </w:tblGrid>
      <w:tr>
        <w:trPr>
          <w:trHeight w:val="195"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EXPERIENCE REQUIREMENTS </w:t>
            </w:r>
          </w:p>
        </w:tc>
      </w:tr>
      <w:tr>
        <w:trPr>
          <w:trHeight w:val="825" w:hRule="atLeast"/>
        </w:trPr>
        <w:tc>
          <w:tcPr>
            <w:tcW w:w="40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If the applicant’s </w:t>
            </w:r>
            <w:r>
              <w:br/>
            </w:r>
            <w:r>
              <w:rPr>
                <w:rFonts w:ascii="Times New Roman" w:hAnsi="Times New Roman"/>
                <w:b w:val="false"/>
                <w:i w:val="false"/>
                <w:color w:val="000000"/>
                <w:sz w:val="14"/>
              </w:rPr>
              <w:t>educational level was:</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must have the following years of experience prior to taking the Fundamentals of Land Surveying examination and the Principles and Practice examination:</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must have the following additional years of experience before the board will issue a license in land surveying:*</w:t>
            </w:r>
          </w:p>
        </w:tc>
      </w:tr>
      <w:tr>
        <w:trPr>
          <w:trHeight w:val="36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 college program with fewer than nine credit hours of surveying [subrule 5.1(1)]</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 college program with nine or more credit hours of surveying</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24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*This allows applicants to take the Principles and Practice of Land Surveying examination and Iowa State Specific Land Surveying examination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1049.1(9)</w:t>
      </w:r>
      <w:r>
        <w:rPr>
          <w:rFonts w:ascii="Times New Roman" w:hAnsi="Times New Roman"/>
          <w:b w:val="false"/>
          <w:i w:val="false"/>
          <w:color w:val="000000"/>
          <w:sz w:val="22"/>
        </w:rPr>
        <w:t> </w:t>
      </w:r>
      <w:r>
        <w:rPr>
          <w:rFonts w:ascii="Times New Roman" w:hAnsi="Times New Roman"/>
          <w:b w:val="false"/>
          <w:i w:val="false"/>
          <w:color w:val="000000"/>
          <w:sz w:val="22"/>
        </w:rPr>
        <w:t>Practical experience requirements. Practical land surveying experience, of which a minimum of one-half shall be field experience, is required prior to licensing. All practical experience must occur after high school graduation and be under the tutelage of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Experience will demonstrate that the applicant has developed technical skill and initiative in the correct application of surveying principles. For the purposes of this chapter, one year of experience shall consist of 1,872 hours of full- or part-time employment, as attested to by the applicant’s references. An applicant may use a maximum of 1,872 hours in any one 12-month period to satisfy the experience requirements. Full-time students, as defined by the student’s school, may not, simultaneously, be considered full-time employees for the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Experience will be of sufficient breadth and scope to ensure that the applicant has attained reasonably well-rounded professional competence in land surveying. For purposes of this rule, field experience is considered of sufficient breadth and scope if the applicant conducts research for boundary surveys, conducts boundary monument recovery field work, gathers field information necessary for boundary line recovery, analyzes all collected boundary recovery field data, establishes land surveying monuments in the field, prepares land surveying documents, as defined in this chapter, and writes property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will indicate successive and continued progress from initial work of simpler character to recent work of greater complexity and higher degree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and military experience. </w:t>
      </w:r>
      <w:r>
        <w:rPr>
          <w:rFonts w:ascii="Times New Roman" w:hAnsi="Times New Roman"/>
          <w:b w:val="false"/>
          <w:i w:val="false"/>
          <w:color w:val="000000"/>
          <w:sz w:val="22"/>
        </w:rPr>
        <w:t>An applicant’s advanced education, military experience, or both will be reviewed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professional engineers and professional land surveyors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1049.1(10)</w:t>
      </w:r>
      <w:r>
        <w:rPr>
          <w:rFonts w:ascii="Times New Roman" w:hAnsi="Times New Roman"/>
          <w:b w:val="false"/>
          <w:i w:val="false"/>
          <w:color w:val="000000"/>
          <w:sz w:val="22"/>
        </w:rPr>
        <w:t> </w:t>
      </w:r>
      <w:r>
        <w:rPr>
          <w:rFonts w:ascii="Times New Roman" w:hAnsi="Times New Roman"/>
          <w:b w:val="false"/>
          <w:i w:val="false"/>
          <w:color w:val="000000"/>
          <w:sz w:val="22"/>
        </w:rPr>
        <w:t>Examinations. The board prepares and grades the Iowa State Specific Land Surveying examination administered to professional land surveyor candidates. All other examinations are uniform examinations prepared and graded by the NCEES. The board may negotiate an agreement with an examination service to administer the examinations to applicants approved by the board, in which case applicants pay examination fees directly to the service.</w:t>
      </w:r>
    </w:p>
    <w:p>
      <w:pPr>
        <w:spacing w:before="0" w:after="0"/>
        <w:ind w:left="120"/>
        <w:jc w:val="both"/>
      </w:pPr>
      <w:r>
        <w:rPr>
          <w:rFonts w:ascii="Times New Roman" w:hAnsi="Times New Roman"/>
          <w:b w:val="false"/>
          <w:i w:val="false"/>
          <w:color w:val="000000"/>
          <w:sz w:val="22"/>
        </w:rPr>
        <w:t xml:space="preserve">An applicant who has failed two consecutive examinations of the state-specific portion of the professional land surveying examination is not allowed to retake the state-specific portion for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Materials permitted in examination room. </w:t>
      </w:r>
      <w:r>
        <w:rPr>
          <w:rFonts w:ascii="Times New Roman" w:hAnsi="Times New Roman"/>
          <w:b w:val="false"/>
          <w:i w:val="false"/>
          <w:color w:val="000000"/>
          <w:sz w:val="22"/>
        </w:rPr>
        <w:t>For security reasons, applicants shall comply with requirements regarding materials permitted in the examination room as issued by the NCEES and provided to candidates prior to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 of examination results. </w:t>
      </w:r>
      <w:r>
        <w:rPr>
          <w:rFonts w:ascii="Times New Roman" w:hAnsi="Times New Roman"/>
          <w:b w:val="false"/>
          <w:i w:val="false"/>
          <w:color w:val="000000"/>
          <w:sz w:val="22"/>
        </w:rPr>
        <w:t>Results of any examination are only reported as pass or fail, except that the candidate who fails an examination may be provided with the candidate’s converted score and a diagnostic report indicating areas of weakness, as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481—1049.2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land surveying issued by a proper authority of a jurisdiction or possession of the United States, the District of Columbia, or any foreign country, based on requirements that do not conflict with the provisions of Iowa Code section </w:t>
      </w:r>
      <w:hyperlink r:id="rId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of a standard not lower than that specified in the applicable licensure Act, may, upon application and successful completion of the Iowa State Specific Land Surveying examination, be licensed without further examination. Comity applicants are governed by the same standards as are required of Iowa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An applicant for licensure by comity shall submit one or more professional land surveyor references on forms provided by the board to verify the number of years of satisfactory experience required with the applicant’s level of education.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1049.2(2)</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proof of active land surveying licensure in another jurisdiction and be in good standing with that jurisdiction’s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licensure by comity from a jurisdiction other than Iowa will satisfy the education and experience requirements as set forth in Iowa Code section </w:t>
      </w:r>
      <w:hyperlink r:id="rId9">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481—1049.1</w:t>
        </w:r>
      </w:hyperlink>
      <w:r>
        <w:rPr>
          <w:rFonts w:ascii="Times New Roman" w:hAnsi="Times New Roman"/>
          <w:b w:val="false"/>
          <w:i w:val="false"/>
          <w:color w:val="000000"/>
          <w:sz w:val="22"/>
        </w:rPr>
        <w:t xml:space="preserve">(542B)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Fundamentals of Land Surveying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Principles and Practice of Land Surveying examination. </w:t>
      </w:r>
    </w:p>
    <w:p>
      <w:pPr>
        <w:spacing w:before="0" w:after="0"/>
        <w:ind w:left="120"/>
        <w:jc w:val="both"/>
      </w:pP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land surveying.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 for reasons including the subjective nature of such procedures, lack of verifiable grading standards, and heightened risk of inconsistent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an Iowa State 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1049.2(3)</w:t>
      </w:r>
      <w:r>
        <w:rPr>
          <w:rFonts w:ascii="Times New Roman" w:hAnsi="Times New Roman"/>
          <w:b w:val="false"/>
          <w:i w:val="false"/>
          <w:color w:val="000000"/>
          <w:sz w:val="22"/>
        </w:rPr>
        <w:t> </w:t>
      </w:r>
      <w:r>
        <w:rPr>
          <w:rFonts w:ascii="Times New Roman" w:hAnsi="Times New Roman"/>
          <w:b w:val="false"/>
          <w:i/>
          <w:color w:val="000000"/>
          <w:sz w:val="22"/>
        </w:rPr>
        <w:t xml:space="preserve">Substantial equivalency.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546.10(8)</w:t>
        </w:r>
      </w:hyperlink>
      <w:r>
        <w:rPr>
          <w:rFonts w:ascii="Times New Roman" w:hAnsi="Times New Roman"/>
          <w:b w:val="false"/>
          <w:i w:val="false"/>
          <w:color w:val="000000"/>
          <w:sz w:val="22"/>
        </w:rPr>
        <w:t>, the board may grant a comity application for licensure as a professional land surveyor if the board concludes that the applicant has met or exceeded all requirements for licensure applicable to initial applicants in Iowa, other than the sequence in which experience must be attained.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481—1049.3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In addition to the requirements of rule </w:t>
      </w:r>
      <w:hyperlink r:id="rId12">
        <w:r>
          <w:rPr>
            <w:rStyle w:val="Hyperlink"/>
            <w:rFonts w:ascii="Times New Roman" w:hAnsi="Times New Roman"/>
            <w:b w:val="false"/>
            <w:i w:val="false"/>
            <w:color w:val="000000"/>
            <w:sz w:val="22"/>
          </w:rPr>
          <w:t>481—501.4</w:t>
        </w:r>
      </w:hyperlink>
      <w:r>
        <w:rPr>
          <w:rFonts w:ascii="Times New Roman" w:hAnsi="Times New Roman"/>
          <w:b w:val="false"/>
          <w:i w:val="false"/>
          <w:color w:val="000000"/>
          <w:sz w:val="22"/>
        </w:rPr>
        <w:t>(272C), professional land surveying candidates applying for an Iowa license by verification must pass the Iowa State Specific Land Surveying examination prior to being issued a license. The board will issue a temporary license that is valid for a period of three months to professional land surveying candidates who have not yet passed the Iowa State Specific Land Surveying examination prior to their application. The professional land surveying candidate may request one renewal of the temporary license for an additional period of three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4/22/04, Notice 2/4/04—published 5/12/04, effective 6/16/04]</w:t>
      </w:r>
    </w:p>
    <w:p>
      <w:pPr>
        <w:spacing w:before="0" w:after="0"/>
        <w:ind w:left="120"/>
        <w:jc w:val="center"/>
      </w:pPr>
      <w:r>
        <w:rPr>
          <w:rFonts w:ascii="Times New Roman" w:hAnsi="Times New Roman"/>
          <w:b w:val="false"/>
          <w:i w:val="false"/>
          <w:color w:val="000000"/>
          <w:sz w:val="21"/>
        </w:rPr>
        <w:t>[Filed 7/25/07, Notice 6/6/07—published 8/15/07, effective 9/19/07]</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[Filed ARC 9805B</w:t>
      </w:r>
      <w:r>
        <w:rPr>
          <w:rFonts w:ascii="Times New Roman" w:hAnsi="Times New Roman"/>
          <w:b w:val="false"/>
          <w:i w:val="false"/>
          <w:color w:val="000000"/>
          <w:sz w:val="21"/>
        </w:rPr>
        <w:t xml:space="preserve"> (Notice ARC 9567B, IAB 6/29/11)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0363C</w:t>
      </w:r>
      <w:r>
        <w:rPr>
          <w:rFonts w:ascii="Times New Roman" w:hAnsi="Times New Roman"/>
          <w:b w:val="false"/>
          <w:i w:val="false"/>
          <w:color w:val="000000"/>
          <w:sz w:val="21"/>
        </w:rPr>
        <w:t xml:space="preserve"> (Notice ARC 0159C,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5564C</w:t>
      </w:r>
      <w:r>
        <w:rPr>
          <w:rFonts w:ascii="Times New Roman" w:hAnsi="Times New Roman"/>
          <w:b w:val="false"/>
          <w:i w:val="false"/>
          <w:color w:val="000000"/>
          <w:sz w:val="21"/>
        </w:rPr>
        <w:t xml:space="preserve"> (Notice ARC 5356C,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7668C</w:t>
      </w:r>
      <w:r>
        <w:rPr>
          <w:rFonts w:ascii="Times New Roman" w:hAnsi="Times New Roman"/>
          <w:b w:val="false"/>
          <w:i w:val="false"/>
          <w:color w:val="000000"/>
          <w:sz w:val="21"/>
        </w:rPr>
        <w:t xml:space="preserve"> (Notice ARC 7408C,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co/chapter/542B.14.pdf" Type="http://schemas.openxmlformats.org/officeDocument/2006/relationships/hyperlink" Id="rId6"/>
    <Relationship TargetMode="External" Target="https://www.legis.iowa.gov/docs/iac/rule/481.1049.1.pdf" Type="http://schemas.openxmlformats.org/officeDocument/2006/relationships/hyperlink" Id="rId7"/>
    <Relationship TargetMode="External" Target="https://www.legis.iowa.gov/docs/ico/chapter/542B.14.pdf" Type="http://schemas.openxmlformats.org/officeDocument/2006/relationships/hyperlink" Id="rId8"/>
    <Relationship TargetMode="External" Target="https://www.legis.iowa.gov/docs/ico/chapter/542B.14.pdf" Type="http://schemas.openxmlformats.org/officeDocument/2006/relationships/hyperlink" Id="rId9"/>
    <Relationship TargetMode="External" Target="https://www.legis.iowa.gov/docs/iac/rule/481.1049.1.pdf" Type="http://schemas.openxmlformats.org/officeDocument/2006/relationships/hyperlink" Id="rId10"/>
    <Relationship TargetMode="External" Target="https://www.legis.iowa.gov/docs/ico/chapter/546.10.pdf" Type="http://schemas.openxmlformats.org/officeDocument/2006/relationships/hyperlink" Id="rId11"/>
    <Relationship TargetMode="External" Target="https://www.legis.iowa.gov/docs/iac/rule/481.501.4.pdf" Type="http://schemas.openxmlformats.org/officeDocument/2006/relationships/hyperlink" Id="rId12"/>
    <Relationship TargetMode="External" Target="https://www.legis.iowa.gov/docs/ico/chapter/272C.12.pdf" Type="http://schemas.openxmlformats.org/officeDocument/2006/relationships/hyperlink" Id="rId13"/>
    <Relationship TargetMode="External" Target="https://www.legis.iowa.gov/docs/ico/chapter/542B.2.pdf" Type="http://schemas.openxmlformats.org/officeDocument/2006/relationships/hyperlink" Id="rId14"/>
    <Relationship TargetMode="External" Target="https://www.legis.iowa.gov/docs/ico/chapter/542B.13.pdf" Type="http://schemas.openxmlformats.org/officeDocument/2006/relationships/hyperlink" Id="rId15"/>
    <Relationship TargetMode="External" Target="https://www.legis.iowa.gov/docs/ico/chapter/542B.14.pdf" Type="http://schemas.openxmlformats.org/officeDocument/2006/relationships/hyperlink" Id="rId16"/>
    <Relationship TargetMode="External" Target="https://www.legis.iowa.gov/docs/ico/chapter/542B.15.pdf" Type="http://schemas.openxmlformats.org/officeDocument/2006/relationships/hyperlink" Id="rId17"/>
    <Relationship TargetMode="External" Target="https://www.legis.iowa.gov/docs/ico/chapter/542B.20.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