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ENGINEERING AND LAND SURVEYING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1045</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IAC Supp. 8/14/85</w:t>
      </w:r>
    </w:p>
    <w:p>
      <w:pPr>
        <w:spacing w:before="0" w:after="0"/>
        <w:ind w:left="120"/>
        <w:jc w:val="center"/>
      </w:pPr>
      <w:r>
        <w:rPr>
          <w:rFonts w:ascii="Times New Roman" w:hAnsi="Times New Roman"/>
          <w:b w:val="false"/>
          <w:i w:val="false"/>
          <w:color w:val="000000"/>
          <w:sz w:val="14"/>
        </w:rPr>
        <w:t>[Rules 1.5 to 1.13 were either rescinded or renumbered and new rules added, see IAB 8/14/85]</w:t>
      </w:r>
    </w:p>
    <w:p>
      <w:pPr>
        <w:spacing w:before="0" w:after="0"/>
        <w:ind w:left="120"/>
        <w:jc w:val="center"/>
      </w:pPr>
      <w:r>
        <w:rPr>
          <w:rFonts w:ascii="Times New Roman" w:hAnsi="Times New Roman"/>
          <w:b w:val="false"/>
          <w:i w:val="false"/>
          <w:color w:val="000000"/>
          <w:sz w:val="14"/>
        </w:rPr>
        <w:t>[Prior to 6/1/88, see Engineering and Land Surveying Examiners, Board of [390] Ch 1]</w:t>
      </w:r>
    </w:p>
    <w:p>
      <w:pPr>
        <w:spacing w:before="0" w:after="0"/>
        <w:ind w:left="120"/>
        <w:jc w:val="center"/>
      </w:pPr>
      <w:r>
        <w:rPr>
          <w:rFonts w:ascii="Times New Roman" w:hAnsi="Times New Roman"/>
          <w:b w:val="false"/>
          <w:i w:val="false"/>
          <w:color w:val="000000"/>
          <w:sz w:val="14"/>
        </w:rPr>
        <w:t>[Rules 1.10 to 1.29 were amended and transferred to 193C—Chapter 4, IAC Supplement 11/27/91]</w:t>
      </w:r>
    </w:p>
    <w:p>
      <w:pPr>
        <w:spacing w:before="0" w:after="0"/>
        <w:ind w:left="120"/>
        <w:jc w:val="center"/>
      </w:pPr>
      <w:r>
        <w:rPr>
          <w:rFonts w:ascii="Times New Roman" w:hAnsi="Times New Roman"/>
          <w:b w:val="false"/>
          <w:i w:val="false"/>
          <w:color w:val="000000"/>
          <w:sz w:val="14"/>
        </w:rPr>
        <w:t>[Prior to 6/24/26, see Engineering and Land Surveying Examining Board[193C]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481—1045.1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The practices of engineering and land surveying affect the life, health, and property of the people in Iowa. The engineering and land surveying examining board’s principal mandate is the protection of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1045.1(1)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Administration of the board has not been separated into panels, divisions, or departments. While the expertise of a board member may be called upon to frame special examinations and evaluate applications for licensing in a specialized engineering branch, the board functions in a unified capacity on all matters that may come before it. The board maintains an office at 6200 Park Avenue, Suite 100, Des Moines, Iowa 50321, and requests or submissions may be directed to the secretary of the board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1045.1(2)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Regular meetings of the board are held in Des Moines, Iowa. Information concerning the location and dates for meetings may be obtained from the board’s office at 6200 Park Avenue, Suite 100, Des Moines, Iowa 50321, or by telephoning 515.725.9022.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481—1045.2</w:t>
      </w:r>
      <w:r>
        <w:rPr>
          <w:rFonts w:ascii="Times New Roman" w:hAnsi="Times New Roman"/>
          <w:b/>
          <w:i w:val="false"/>
          <w:color w:val="000000"/>
          <w:sz w:val="22"/>
        </w:rPr>
        <w:t xml:space="preserve">(542B)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w:t>
      </w:r>
      <w:r>
        <w:rPr>
          <w:rFonts w:ascii="Times New Roman" w:hAnsi="Times New Roman"/>
          <w:b w:val="false"/>
          <w:i w:val="false"/>
          <w:color w:val="000000"/>
          <w:sz w:val="22"/>
        </w:rPr>
        <w:t> </w:t>
      </w:r>
      <w:r>
        <w:rPr>
          <w:rFonts w:ascii="Times New Roman" w:hAnsi="Times New Roman"/>
          <w:b w:val="false"/>
          <w:i w:val="false"/>
          <w:color w:val="000000"/>
          <w:sz w:val="22"/>
        </w:rPr>
        <w:t>means a program accredited by the Accreditation Board for Engineering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(ABET) or the Canadian Engineering Accreditation Board (CEAB) or another accrediting body accepted by the National Council of Examiners for Engineering and Surveying (NCEES).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engineering and land surveying examining board provided by Iowa Code chapter </w:t>
      </w:r>
      <w:hyperlink r:id="rId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 coordination”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“Engineering documents”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542B.2(4)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“Engineering survey,”</w:t>
      </w:r>
      <w:r>
        <w:rPr>
          <w:rFonts w:ascii="Times New Roman" w:hAnsi="Times New Roman"/>
          <w:b w:val="false"/>
          <w:i w:val="false"/>
          <w:color w:val="000000"/>
          <w:sz w:val="22"/>
        </w:rPr>
        <w:t> </w:t>
      </w:r>
      <w:r>
        <w:rPr>
          <w:rFonts w:ascii="Times New Roman" w:hAnsi="Times New Roman"/>
          <w:b w:val="false"/>
          <w:i w:val="false"/>
          <w:color w:val="000000"/>
          <w:sz w:val="22"/>
        </w:rPr>
        <w:t>as used in the definition of the practice of engineering, includes all survey activities required to support the sound conception, planning, design, construction, maintenance, and operation of engineered projects, but excludes the survey of real property for the establishment of land boundaries, rights-of-way, easements, and the dependent or independent surveys or resurveys of the public land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“Engineer intern”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542B.2(3)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responsible charge”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 surveying documents”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engineering”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542B.2(9)</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practice of engineering includes: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Environmental engineering activities that may be involved in developing plans, reports, or actions to remediate an environmentally hazardous site;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Design of fixturing devices for manufacturing machinery that must be performed by a licensed professional engineer or under the responsible charge and direct supervision of a professional engineer unless performed within the industrial exemption by a full-time employee of a corporation that constructs the fixtures.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Activities that the board will construe as the practice of engineering for which the board may by order impose a civil penalty upon a person who is not licensed as a professional engineer are set out in Iowa Code section </w:t>
      </w:r>
      <w:hyperlink r:id="rId12">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land surveying”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542B.2(10)</w:t>
        </w:r>
      </w:hyperlink>
      <w:r>
        <w:rPr>
          <w:rFonts w:ascii="Times New Roman" w:hAnsi="Times New Roman"/>
          <w:b w:val="false"/>
          <w:i w:val="false"/>
          <w:color w:val="000000"/>
          <w:sz w:val="22"/>
        </w:rPr>
        <w:t xml:space="preserve"> and also includes activities that the board will construe as the practice of land surveying and for which the board may by order impose a civil penalty upon a person who is not licensed as a professional land surveyor as set out in Iowa Code section </w:t>
      </w:r>
      <w:hyperlink r:id="rId14">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engineer”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542B.2(11)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land surveyor”</w:t>
      </w:r>
      <w:r>
        <w:rPr>
          <w:rFonts w:ascii="Times New Roman" w:hAnsi="Times New Roman"/>
          <w:b w:val="false"/>
          <w:i w:val="false"/>
          <w:color w:val="000000"/>
          <w:sz w:val="22"/>
        </w:rPr>
        <w:t> </w:t>
      </w:r>
      <w:r>
        <w:rPr>
          <w:rFonts w:ascii="Times New Roman" w:hAnsi="Times New Roman"/>
          <w:b w:val="false"/>
          <w:i w:val="false"/>
          <w:color w:val="000000"/>
          <w:sz w:val="22"/>
        </w:rPr>
        <w:t>means a person who engages in the practice of land surveying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“Written,”</w:t>
      </w:r>
      <w:r>
        <w:rPr>
          <w:rFonts w:ascii="Times New Roman" w:hAnsi="Times New Roman"/>
          <w:b w:val="false"/>
          <w:i w:val="false"/>
          <w:color w:val="000000"/>
          <w:sz w:val="22"/>
        </w:rPr>
        <w:t> </w:t>
      </w:r>
      <w:r>
        <w:rPr>
          <w:rFonts w:ascii="Times New Roman" w:hAnsi="Times New Roman"/>
          <w:b w:val="false"/>
          <w:i w:val="false"/>
          <w:color w:val="000000"/>
          <w:sz w:val="22"/>
        </w:rPr>
        <w:t>when used to describe an examination, means a computer-based format.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481—1045.3</w:t>
      </w:r>
      <w:r>
        <w:rPr>
          <w:rFonts w:ascii="Times New Roman" w:hAnsi="Times New Roman"/>
          <w:b/>
          <w:i w:val="false"/>
          <w:color w:val="000000"/>
          <w:sz w:val="22"/>
        </w:rPr>
        <w:t xml:space="preserve">(542B)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 xml:space="preserve">The board’s rules regarding declaratory orders can be found in the uniform rules for the division of professional licensing and regulation at </w:t>
      </w:r>
      <w:hyperlink r:id="rId16">
        <w:r>
          <w:rPr>
            <w:rStyle w:val="Hyperlink"/>
            <w:rFonts w:ascii="Times New Roman" w:hAnsi="Times New Roman"/>
            <w:b w:val="false"/>
            <w:i w:val="false"/>
            <w:color w:val="000000"/>
            <w:sz w:val="22"/>
          </w:rPr>
          <w:t>7—Chapter 2503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481—1045.4</w:t>
      </w:r>
      <w:r>
        <w:rPr>
          <w:rFonts w:ascii="Times New Roman" w:hAnsi="Times New Roman"/>
          <w:b/>
          <w:i w:val="false"/>
          <w:color w:val="000000"/>
          <w:sz w:val="22"/>
        </w:rPr>
        <w:t xml:space="preserve">(542B)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rules regarding waivers can be found in the uniform rules for the division of professional licensing and regulation at </w:t>
      </w:r>
      <w:hyperlink r:id="rId1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1045.4(2)</w:t>
      </w:r>
      <w:r>
        <w:rPr>
          <w:rFonts w:ascii="Times New Roman" w:hAnsi="Times New Roman"/>
          <w:b w:val="false"/>
          <w:i w:val="false"/>
          <w:color w:val="000000"/>
          <w:sz w:val="22"/>
        </w:rPr>
        <w:t> </w:t>
      </w:r>
      <w:r>
        <w:rPr>
          <w:rFonts w:ascii="Times New Roman" w:hAnsi="Times New Roman"/>
          <w:b w:val="false"/>
          <w:i w:val="false"/>
          <w:color w:val="000000"/>
          <w:sz w:val="22"/>
        </w:rPr>
        <w:t>Interim rulings. The board chairperson, or vice chairperson if the chairperson is not available, may rule on a petition for waiver when it would not be timely to wait for the next regularly scheduled board meeting for a ruling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secretary shall, upon receipt of a petition meeting all applicable criteria established in </w:t>
      </w:r>
      <w:hyperlink r:id="rId18">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present the request to the board chairperson or vice chairperson along with all pertinent information regarding established precedent for granting or denying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shall reserve the right to hold an electronic meeting of the board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 precedent does not clearly resolve the request and the input of the board is deemed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practical result of waiting until the next regularly scheduled meeting would be a denial of the request due to timing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waiver report will be placed on the agenda of the next regularly scheduled board meeting and recorded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subrule on interim rulings does not apply if the waiver was filed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481—1045.5</w:t>
      </w:r>
      <w:r>
        <w:rPr>
          <w:rFonts w:ascii="Times New Roman" w:hAnsi="Times New Roman"/>
          <w:b/>
          <w:i w:val="false"/>
          <w:color w:val="000000"/>
          <w:sz w:val="22"/>
        </w:rPr>
        <w:t xml:space="preserve">(542B) </w:t>
      </w:r>
      <w:r>
        <w:rPr>
          <w:rFonts w:ascii="Times New Roman" w:hAnsi="Times New Roman"/>
          <w:b/>
          <w:i w:val="false"/>
          <w:color w:val="000000"/>
          <w:sz w:val="22"/>
        </w:rPr>
        <w:t xml:space="preserve">Licensed professional engineers and building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is intended to provide guidance to licensed professional engineers, other design professionals, unlicensed persons engaged in various aspects of building construction, building officials, owners, and others on when the services of a licensed professional engineer are required or not in connection with new building construction and alterations to existing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1045.5(2)</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w:t>
      </w:r>
      <w:r>
        <w:rPr>
          <w:rFonts w:ascii="Times New Roman" w:hAnsi="Times New Roman"/>
          <w:b w:val="false"/>
          <w:i w:val="false"/>
          <w:color w:val="000000"/>
          <w:sz w:val="22"/>
        </w:rPr>
        <w:t xml:space="preserve">Given the wide range of buildings covered by this rule and the unique issues that may arise with respect to specific buildings, it is not possible to establish definitive criteria that will universally resolve when building construction or alterations will or will not implicate the practice of professional engineering, as defined in Iowa Code sections </w:t>
      </w:r>
      <w:hyperlink r:id="rId19">
        <w:r>
          <w:rPr>
            <w:rStyle w:val="Hyperlink"/>
            <w:rFonts w:ascii="Times New Roman" w:hAnsi="Times New Roman"/>
            <w:b w:val="false"/>
            <w:i w:val="false"/>
            <w:color w:val="000000"/>
            <w:sz w:val="22"/>
          </w:rPr>
          <w:t>542B.2(8)</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542B.27(1)</w:t>
        </w:r>
      </w:hyperlink>
      <w:r>
        <w:rPr>
          <w:rFonts w:ascii="Times New Roman" w:hAnsi="Times New Roman"/>
          <w:b w:val="false"/>
          <w:i w:val="false"/>
          <w:color w:val="000000"/>
          <w:sz w:val="22"/>
        </w:rPr>
        <w:t>. For example, while the construction of a single-family residence would not generally necessitate the services of a licensed professional engineer, unique or unconventional features of a particular site or design may necessitate complex structural calculations or other services that fall within the definition of professional engineering. As a result, this rule should be interpreted as providing only general guidelines on when a licensed professional engineer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board will consider the guidelines provided in this rule when enforcing Iowa Code chapter </w:t>
      </w:r>
      <w:hyperlink r:id="rId21">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including when determining whether an unlicensed person has engaged in the practice of professional engineering. This rule is not intended to constrain building officials or other public officials in their enforcement of other laws, rules, regulations or ordinances. A building code official, for example, may require that certain documents be prepared by a licensed professional engineer or that certain construction inspections be performed by a licensed professional engineer whether or not the guidelines in this rule would so require. This rule only addresses the practice of professional engineering and does not address the practice of architecture. Similar guidelines with respect to the practice of architecture may be found at </w:t>
      </w:r>
      <w:hyperlink r:id="rId22">
        <w:r>
          <w:rPr>
            <w:rStyle w:val="Hyperlink"/>
            <w:rFonts w:ascii="Times New Roman" w:hAnsi="Times New Roman"/>
            <w:b w:val="false"/>
            <w:i w:val="false"/>
            <w:color w:val="000000"/>
            <w:sz w:val="22"/>
          </w:rPr>
          <w:t>481—Chapter 1065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set forth in rule </w:t>
      </w:r>
      <w:hyperlink r:id="rId23">
        <w:r>
          <w:rPr>
            <w:rStyle w:val="Hyperlink"/>
            <w:rFonts w:ascii="Times New Roman" w:hAnsi="Times New Roman"/>
            <w:b w:val="false"/>
            <w:i w:val="false"/>
            <w:color w:val="000000"/>
            <w:sz w:val="22"/>
          </w:rPr>
          <w:t>481—1065.1</w:t>
        </w:r>
      </w:hyperlink>
      <w:r>
        <w:rPr>
          <w:rFonts w:ascii="Times New Roman" w:hAnsi="Times New Roman"/>
          <w:b w:val="false"/>
          <w:i w:val="false"/>
          <w:color w:val="000000"/>
          <w:sz w:val="22"/>
        </w:rPr>
        <w:t>(544A) apply to this rule.</w:t>
      </w:r>
    </w:p>
    <w:p>
      <w:pPr>
        <w:spacing w:before="0" w:after="0"/>
        <w:ind w:left="120"/>
        <w:jc w:val="both"/>
      </w:pPr>
      <w:r>
        <w:rPr>
          <w:rFonts w:ascii="Times New Roman" w:hAnsi="Times New Roman"/>
          <w:b/>
          <w:i w:val="false"/>
          <w:color w:val="000000"/>
          <w:sz w:val="22"/>
        </w:rPr>
        <w:t>1045.5(5)</w:t>
      </w:r>
      <w:r>
        <w:rPr>
          <w:rFonts w:ascii="Times New Roman" w:hAnsi="Times New Roman"/>
          <w:b w:val="false"/>
          <w:i w:val="false"/>
          <w:color w:val="000000"/>
          <w:sz w:val="22"/>
        </w:rPr>
        <w:t> </w:t>
      </w:r>
      <w:r>
        <w:rPr>
          <w:rFonts w:ascii="Times New Roman" w:hAnsi="Times New Roman"/>
          <w:b w:val="false"/>
          <w:i/>
          <w:color w:val="000000"/>
          <w:sz w:val="22"/>
        </w:rPr>
        <w:t xml:space="preserve">Guidelines for new construction. </w:t>
      </w:r>
      <w:r>
        <w:rPr>
          <w:rFonts w:ascii="Times New Roman" w:hAnsi="Times New Roman"/>
          <w:b w:val="false"/>
          <w:i w:val="false"/>
          <w:color w:val="000000"/>
          <w:sz w:val="22"/>
        </w:rPr>
        <w:t>The following matrix describes by building type and use when the services of a licensed professional engineer are required in connection with new building construction: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04"/>
        <w:gridCol w:w="4800"/>
        <w:gridCol w:w="1248"/>
        <w:gridCol w:w="1248"/>
      </w:tblGrid>
      <w:tr>
        <w:trPr>
          <w:trHeight w:val="360" w:hRule="atLeast"/>
        </w:trPr>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BUILDINGS</w:t>
            </w:r>
            <w:r>
              <w:br/>
            </w:r>
            <w:r>
              <w:rPr>
                <w:rFonts w:ascii="Times New Roman" w:hAnsi="Times New Roman"/>
                <w:b/>
                <w:i w:val="false"/>
                <w:color w:val="000000"/>
                <w:sz w:val="14"/>
              </w:rPr>
              <w:t>NEW CONSTRUCTION</w:t>
            </w:r>
          </w:p>
        </w:tc>
      </w:tr>
      <w:tr>
        <w:trPr>
          <w:trHeight w:val="510" w:hRule="atLeast"/>
        </w:trPr>
        <w:tc>
          <w:tcPr>
            <w:tcW w:w="2304"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Building Use Type</w:t>
            </w:r>
          </w:p>
        </w:tc>
        <w:tc>
          <w:tcPr>
            <w:tcW w:w="4800"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Description</w:t>
            </w:r>
          </w:p>
        </w:tc>
        <w:tc>
          <w:tcPr>
            <w:tcW w:w="1248"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Required</w:t>
            </w:r>
          </w:p>
        </w:tc>
        <w:tc>
          <w:tcPr>
            <w:tcW w:w="1248"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May Not Be Required</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Agricultural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Facilities for private use only and individually owned and operated facilities including grain elevators and feed mills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Corporate-owned facilities or publicly owned facilities including grain elevators and feed mills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Churches and accessory buildings whether attached or separate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Any number of stories in height, greater than 2,000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up to a maximum of 6,000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greater than 6,000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Detached Residential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two or three stories in height, containing 12 or fewer family dwelling units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12 family dwelling units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three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Outbuildings in connection with detached residential buildings</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Governmental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When the occupancy is of another building use type listed herein, those provisions shall apply</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Industrial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Institutional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Light Industrial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Places of assembly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Warehouse Use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one story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2304" w:type="dxa"/>
            <w:vMerge w:val="restart"/>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Factory-Built Buildings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greater than 20,000 square feet in gross floor area</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2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right w:val="single" w:color="000000" w:sz="8"/>
            </w:tcBorders>
          </w:tcPr>
          <w:p/>
        </w:tc>
        <w:tc>
          <w:tcPr>
            <w:tcW w:w="4800"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20,000 square feet in gross floor area</w:t>
            </w:r>
          </w:p>
        </w:tc>
        <w:tc>
          <w:tcPr>
            <w:tcW w:w="124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2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i w:val="false"/>
          <w:color w:val="000000"/>
          <w:sz w:val="22"/>
        </w:rPr>
        <w:t>1045.5(6)</w:t>
      </w:r>
      <w:r>
        <w:rPr>
          <w:rFonts w:ascii="Times New Roman" w:hAnsi="Times New Roman"/>
          <w:b w:val="false"/>
          <w:i w:val="false"/>
          <w:color w:val="000000"/>
          <w:sz w:val="22"/>
        </w:rPr>
        <w:t> </w:t>
      </w:r>
      <w:r>
        <w:rPr>
          <w:rFonts w:ascii="Times New Roman" w:hAnsi="Times New Roman"/>
          <w:b w:val="false"/>
          <w:i/>
          <w:color w:val="000000"/>
          <w:sz w:val="22"/>
        </w:rPr>
        <w:t xml:space="preserve">Guidelines for alterations to existing buildings. </w:t>
      </w:r>
      <w:r>
        <w:rPr>
          <w:rFonts w:ascii="Times New Roman" w:hAnsi="Times New Roman"/>
          <w:b w:val="false"/>
          <w:i w:val="false"/>
          <w:color w:val="000000"/>
          <w:sz w:val="22"/>
        </w:rPr>
        <w:t>The following matrix describes by alteration type when the services of a licensed professional engineer are required in connection with alterations to existing buildings: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17"/>
        <w:gridCol w:w="521"/>
        <w:gridCol w:w="1261"/>
        <w:gridCol w:w="4107"/>
        <w:gridCol w:w="1152"/>
        <w:gridCol w:w="1152"/>
      </w:tblGrid>
      <w:tr>
        <w:trPr>
          <w:trHeight w:val="360" w:hRule="atLeast"/>
        </w:trPr>
        <w:tc>
          <w:tcPr>
            <w:tcW w:w="0" w:type="auto"/>
            <w:gridSpan w:val="6"/>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ALTERATIONS</w:t>
            </w:r>
            <w:r>
              <w:br/>
            </w:r>
            <w:r>
              <w:rPr>
                <w:rFonts w:ascii="Times New Roman" w:hAnsi="Times New Roman"/>
                <w:b/>
                <w:i w:val="false"/>
                <w:color w:val="000000"/>
                <w:sz w:val="14"/>
              </w:rPr>
              <w:t>TO EXISTING BUILDINGS</w:t>
            </w:r>
          </w:p>
        </w:tc>
      </w:tr>
      <w:tr>
        <w:trPr>
          <w:trHeight w:val="510" w:hRule="atLeast"/>
        </w:trPr>
        <w:tc>
          <w:tcPr>
            <w:tcW w:w="151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Alteration Type</w:t>
            </w:r>
          </w:p>
        </w:tc>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Description</w:t>
            </w:r>
          </w:p>
        </w:tc>
        <w:tc>
          <w:tcPr>
            <w:tcW w:w="115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Required</w:t>
            </w:r>
          </w:p>
        </w:tc>
        <w:tc>
          <w:tcPr>
            <w:tcW w:w="115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Engineer May Not Be Required</w:t>
            </w:r>
          </w:p>
        </w:tc>
      </w:tr>
      <w:tr>
        <w:trPr>
          <w:trHeight w:val="825" w:hRule="atLeast"/>
        </w:trPr>
        <w:tc>
          <w:tcPr>
            <w:tcW w:w="151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Structural alterations to exempt buildings under Iowa Code section </w:t>
            </w:r>
            <w:hyperlink r:id="rId24">
              <w:r>
                <w:rPr>
                  <w:rStyle w:val="Hyperlink"/>
                  <w:rFonts w:ascii="Times New Roman" w:hAnsi="Times New Roman"/>
                  <w:b w:val="false"/>
                  <w:i w:val="false"/>
                  <w:color w:val="000000"/>
                  <w:sz w:val="14"/>
                </w:rPr>
                <w:t>544A.18</w:t>
              </w:r>
            </w:hyperlink>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Modifications that change the structural members, means of egress, handicap accessible path, fire resistivity or other life safety concerns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660" w:hRule="atLeast"/>
        </w:trPr>
        <w:tc>
          <w:tcPr>
            <w:tcW w:w="151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Structural alterations to buildings that are not exempt</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Modifications that change the structural members, means of egress, handicap accessible path, fire resistivity or other life safety concerns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151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That does not modify means of egress, handicap accessible path, fire resistivity or other life safety concerns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r>
      <w:tr>
        <w:trPr>
          <w:trHeight w:val="195" w:hRule="atLeast"/>
        </w:trPr>
        <w:tc>
          <w:tcPr>
            <w:tcW w:w="151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That maintains the previous type of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X </w:t>
            </w:r>
          </w:p>
        </w:tc>
      </w:tr>
      <w:tr>
        <w:trPr>
          <w:trHeight w:val="195"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 that changes the use of the building from any other use to:</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place of assembly of people or public gathering</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Governmental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Hazardous use</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place of residence exempted</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two or three stories in height and contains not more than 12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place of residence not exempted otherwise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more than three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3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containing more than 12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60"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alterations that change the use of the building from industrial or warehouse to:</w:t>
            </w: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or office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story in height and not greater than a maximum of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one story in height and greater than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two stories in height and not greater than a maximum of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two stories in height and greater than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and is greater than 10,000 square feet of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Nonstructural alterations to:</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Agricultural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Including grain elevators and feed mills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Churches and Accessory Building Uses</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Any number of stories in height, greater than 2,000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Commercial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up to a maximum of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stories in height, greater than 6,000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Detached Residential Buildings</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two or three stories in height, containing 12 or fewer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12 family dwelling units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three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Outbuildings in connection with detached residential buildings</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Educational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Governmental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When the occupancy is of another building use type listed herein, those provisions shall apply</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Industrial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Institutional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Light Industrial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19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Places of Assembly</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Warehouse Use</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up to a maximum of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story in height, greater than 10,000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one story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60" w:hRule="atLeast"/>
        </w:trPr>
        <w:tc>
          <w:tcPr>
            <w:tcW w:w="151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Factory-Built Buildings</w:t>
            </w: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up to a maximum of 20,000 square feet of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r>
      <w:tr>
        <w:trPr>
          <w:trHeight w:val="360"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or two stories in height, greater than 20,000 square feet in gross floor area</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two stories in height</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9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107"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20,000 square feet in gross floor area</w:t>
            </w:r>
          </w:p>
        </w:tc>
        <w:tc>
          <w:tcPr>
            <w:tcW w:w="115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w:t>
            </w:r>
          </w:p>
        </w:tc>
        <w:tc>
          <w:tcPr>
            <w:tcW w:w="11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1045.5(7)</w:t>
      </w:r>
      <w:r>
        <w:rPr>
          <w:rFonts w:ascii="Times New Roman" w:hAnsi="Times New Roman"/>
          <w:b w:val="false"/>
          <w:i w:val="false"/>
          <w:color w:val="000000"/>
          <w:sz w:val="22"/>
        </w:rPr>
        <w:t> </w:t>
      </w:r>
      <w:r>
        <w:rPr>
          <w:rFonts w:ascii="Times New Roman" w:hAnsi="Times New Roman"/>
          <w:b w:val="false"/>
          <w:i/>
          <w:color w:val="000000"/>
          <w:sz w:val="22"/>
        </w:rPr>
        <w:t xml:space="preserve">Architectural exceptions do not apply. </w:t>
      </w:r>
      <w:r>
        <w:rPr>
          <w:rFonts w:ascii="Times New Roman" w:hAnsi="Times New Roman"/>
          <w:b w:val="false"/>
          <w:i w:val="false"/>
          <w:color w:val="000000"/>
          <w:sz w:val="22"/>
        </w:rPr>
        <w:t xml:space="preserve">The statutory exemptions in Iowa Code section </w:t>
      </w:r>
      <w:hyperlink r:id="rId25">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do not apply to the practice of engineering. The construction of a building that falls within an exception in Iowa Code section </w:t>
      </w:r>
      <w:hyperlink r:id="rId26">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may necessitate the services of an engineer if, for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structural elements that do not fall within building code definitions of conventional light frame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certain structural materials, members or components requires special inspections by engineers,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HVAC, plumbing or electrical systems exceed certain building code standards. However, the matrix guidelines in this rule are generally compatible with the exceptions in Iowa Code section </w:t>
      </w:r>
      <w:hyperlink r:id="rId27">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because the construction of buildings that fall outside the exceptions in Iowa Code section </w:t>
      </w:r>
      <w:hyperlink r:id="rId28">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generally does implicate the practice of professional engineering in such disciplines as structural, electrical or mechanical engineering.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542B.3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3/16/53; amended 1/19/54, 10/18/54, 6/15/56, 3/30/59,</w:t>
      </w:r>
    </w:p>
    <w:p>
      <w:pPr>
        <w:spacing w:before="0" w:after="0"/>
        <w:ind w:left="120"/>
        <w:jc w:val="center"/>
      </w:pPr>
      <w:r>
        <w:rPr>
          <w:rFonts w:ascii="Times New Roman" w:hAnsi="Times New Roman"/>
          <w:b w:val="false"/>
          <w:i w:val="false"/>
          <w:color w:val="000000"/>
          <w:sz w:val="21"/>
        </w:rPr>
        <w:t>3/8/61, 6/14/61, 3/14/62, 5/8/69]</w:t>
      </w:r>
    </w:p>
    <w:p>
      <w:pPr>
        <w:spacing w:before="0" w:after="0"/>
        <w:ind w:left="120"/>
        <w:jc w:val="center"/>
      </w:pPr>
      <w:r>
        <w:rPr>
          <w:rFonts w:ascii="Times New Roman" w:hAnsi="Times New Roman"/>
          <w:b w:val="false"/>
          <w:i w:val="false"/>
          <w:color w:val="000000"/>
          <w:sz w:val="21"/>
        </w:rPr>
        <w:t>[Filed 12/16/75, Notice 11/3/75—published 1/12/76, effective 2/16/76]</w:t>
      </w:r>
    </w:p>
    <w:p>
      <w:pPr>
        <w:spacing w:before="0" w:after="0"/>
        <w:ind w:left="120"/>
        <w:jc w:val="center"/>
      </w:pPr>
      <w:r>
        <w:rPr>
          <w:rFonts w:ascii="Times New Roman" w:hAnsi="Times New Roman"/>
          <w:b w:val="false"/>
          <w:i w:val="false"/>
          <w:color w:val="000000"/>
          <w:sz w:val="21"/>
        </w:rPr>
        <w:t>[Filed 3/18/76, Notice 11/3/75—published 4/5/76, effective 5/10/76]</w:t>
      </w:r>
    </w:p>
    <w:p>
      <w:pPr>
        <w:spacing w:before="0" w:after="0"/>
        <w:ind w:left="120"/>
        <w:jc w:val="center"/>
      </w:pPr>
      <w:r>
        <w:rPr>
          <w:rFonts w:ascii="Times New Roman" w:hAnsi="Times New Roman"/>
          <w:b w:val="false"/>
          <w:i w:val="false"/>
          <w:color w:val="000000"/>
          <w:sz w:val="21"/>
        </w:rPr>
        <w:t>[Filed 4/1/77, Notice 12/29/76—published 4/20/77, effective 5/25/77]</w:t>
      </w:r>
    </w:p>
    <w:p>
      <w:pPr>
        <w:spacing w:before="0" w:after="0"/>
        <w:ind w:left="120"/>
        <w:jc w:val="center"/>
      </w:pPr>
      <w:r>
        <w:rPr>
          <w:rFonts w:ascii="Times New Roman" w:hAnsi="Times New Roman"/>
          <w:b w:val="false"/>
          <w:i w:val="false"/>
          <w:color w:val="000000"/>
          <w:sz w:val="21"/>
        </w:rPr>
        <w:t>[Filed 5/23/78, Notice 3/22/78—published 6/14/78, effective 8/1/78]</w:t>
      </w:r>
    </w:p>
    <w:p>
      <w:pPr>
        <w:spacing w:before="0" w:after="0"/>
        <w:ind w:left="120"/>
        <w:jc w:val="center"/>
      </w:pPr>
      <w:r>
        <w:rPr>
          <w:rFonts w:ascii="Times New Roman" w:hAnsi="Times New Roman"/>
          <w:b w:val="false"/>
          <w:i w:val="false"/>
          <w:color w:val="000000"/>
          <w:sz w:val="21"/>
        </w:rPr>
        <w:t>[Filed 7/26/78, Notice 5/3/78—published 8/23/78, effective 9/27/78]</w:t>
      </w:r>
    </w:p>
    <w:p>
      <w:pPr>
        <w:spacing w:before="0" w:after="0"/>
        <w:ind w:left="120"/>
        <w:jc w:val="center"/>
      </w:pPr>
      <w:r>
        <w:rPr>
          <w:rFonts w:ascii="Times New Roman" w:hAnsi="Times New Roman"/>
          <w:b w:val="false"/>
          <w:i w:val="false"/>
          <w:color w:val="000000"/>
          <w:sz w:val="21"/>
        </w:rPr>
        <w:t>[Filed emergency10/3/78 after Notice 8/9/78—published 10/18/78, effective 10/3/78]</w:t>
      </w:r>
    </w:p>
    <w:p>
      <w:pPr>
        <w:spacing w:before="0" w:after="0"/>
        <w:ind w:left="120"/>
        <w:jc w:val="center"/>
      </w:pPr>
      <w:r>
        <w:rPr>
          <w:rFonts w:ascii="Times New Roman" w:hAnsi="Times New Roman"/>
          <w:b w:val="false"/>
          <w:i w:val="false"/>
          <w:color w:val="000000"/>
          <w:sz w:val="21"/>
        </w:rPr>
        <w:t>[Filed 1/4/79, Notice 10/18/78—published 1/24/79, effective 2/28/79]</w:t>
      </w:r>
    </w:p>
    <w:p>
      <w:pPr>
        <w:spacing w:before="0" w:after="0"/>
        <w:ind w:left="120"/>
        <w:jc w:val="center"/>
      </w:pPr>
      <w:r>
        <w:rPr>
          <w:rFonts w:ascii="Times New Roman" w:hAnsi="Times New Roman"/>
          <w:b w:val="false"/>
          <w:i w:val="false"/>
          <w:color w:val="000000"/>
          <w:sz w:val="21"/>
        </w:rPr>
        <w:t>[Filed 7/7/80, Notice 12/12/79—published 7/23/80, effective 8/27/80]</w:t>
      </w:r>
    </w:p>
    <w:p>
      <w:pPr>
        <w:spacing w:before="0" w:after="0"/>
        <w:ind w:left="120"/>
        <w:jc w:val="center"/>
      </w:pPr>
      <w:r>
        <w:rPr>
          <w:rFonts w:ascii="Times New Roman" w:hAnsi="Times New Roman"/>
          <w:b w:val="false"/>
          <w:i w:val="false"/>
          <w:color w:val="000000"/>
          <w:sz w:val="21"/>
        </w:rPr>
        <w:t>[Filed 8/12/81, Notice 4/29/81—published 9/2/81, effective 10/7/81]</w:t>
      </w:r>
    </w:p>
    <w:p>
      <w:pPr>
        <w:spacing w:before="0" w:after="0"/>
        <w:ind w:left="120"/>
        <w:jc w:val="center"/>
      </w:pPr>
      <w:r>
        <w:rPr>
          <w:rFonts w:ascii="Times New Roman" w:hAnsi="Times New Roman"/>
          <w:b w:val="false"/>
          <w:i w:val="false"/>
          <w:color w:val="000000"/>
          <w:sz w:val="21"/>
        </w:rPr>
        <w:t>[Filed 9/25/81, Notice 7/22/81—published 10/14/81, effective 11/18/81]</w:t>
      </w:r>
    </w:p>
    <w:p>
      <w:pPr>
        <w:spacing w:before="0" w:after="0"/>
        <w:ind w:left="120"/>
        <w:jc w:val="center"/>
      </w:pPr>
      <w:r>
        <w:rPr>
          <w:rFonts w:ascii="Times New Roman" w:hAnsi="Times New Roman"/>
          <w:b w:val="false"/>
          <w:i w:val="false"/>
          <w:color w:val="000000"/>
          <w:sz w:val="21"/>
        </w:rPr>
        <w:t>[Filed 8/11/83, Notice 5/25/83—published 8/31/83, effective 10/5/83]</w:t>
      </w:r>
    </w:p>
    <w:p>
      <w:pPr>
        <w:spacing w:before="0" w:after="0"/>
        <w:ind w:left="120"/>
        <w:jc w:val="center"/>
      </w:pPr>
      <w:r>
        <w:rPr>
          <w:rFonts w:ascii="Times New Roman" w:hAnsi="Times New Roman"/>
          <w:b w:val="false"/>
          <w:i w:val="false"/>
          <w:color w:val="000000"/>
          <w:sz w:val="21"/>
        </w:rPr>
        <w:t>[Filed 12/21/84, Notice 7/18/84—published 1/16/85, effective 2/20/85]</w:t>
      </w:r>
    </w:p>
    <w:p>
      <w:pPr>
        <w:spacing w:before="0" w:after="0"/>
        <w:ind w:left="120"/>
        <w:jc w:val="center"/>
      </w:pPr>
      <w:r>
        <w:rPr>
          <w:rFonts w:ascii="Times New Roman" w:hAnsi="Times New Roman"/>
          <w:b w:val="false"/>
          <w:i w:val="false"/>
          <w:color w:val="000000"/>
          <w:sz w:val="21"/>
        </w:rPr>
        <w:t>[Filed 3/8/85, Notice 1/16/85—published 3/27/85, effective 5/1/85]</w:t>
      </w:r>
    </w:p>
    <w:p>
      <w:pPr>
        <w:spacing w:before="0" w:after="0"/>
        <w:ind w:left="120"/>
        <w:jc w:val="center"/>
      </w:pPr>
      <w:r>
        <w:rPr>
          <w:rFonts w:ascii="Times New Roman" w:hAnsi="Times New Roman"/>
          <w:b w:val="false"/>
          <w:i w:val="false"/>
          <w:color w:val="000000"/>
          <w:sz w:val="21"/>
        </w:rPr>
        <w:t>[Filed 7/25/85, Notice 5/22/85—published 8/14/85, effective 9/18/85]</w:t>
      </w:r>
    </w:p>
    <w:p>
      <w:pPr>
        <w:spacing w:before="0" w:after="0"/>
        <w:ind w:left="120"/>
        <w:jc w:val="center"/>
      </w:pPr>
      <w:r>
        <w:rPr>
          <w:rFonts w:ascii="Times New Roman" w:hAnsi="Times New Roman"/>
          <w:b w:val="false"/>
          <w:i w:val="false"/>
          <w:color w:val="000000"/>
          <w:sz w:val="21"/>
        </w:rPr>
        <w:t>[Filed 9/5/85, Notice 7/31/85—published 9/25/85, effective 10/30/85]</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5/13/88, Notice 4/6/88—published 6/1/88, effective 7/6/88]</w:t>
      </w:r>
    </w:p>
    <w:p>
      <w:pPr>
        <w:spacing w:before="0" w:after="0"/>
        <w:ind w:left="120"/>
        <w:jc w:val="center"/>
      </w:pPr>
      <w:r>
        <w:rPr>
          <w:rFonts w:ascii="Times New Roman" w:hAnsi="Times New Roman"/>
          <w:b w:val="false"/>
          <w:i w:val="false"/>
          <w:color w:val="000000"/>
          <w:sz w:val="21"/>
        </w:rPr>
        <w:t>[Filed 3/15/89, Notice 12/28/88—published 4/5/89, effective 5/10/89]</w:t>
      </w:r>
    </w:p>
    <w:p>
      <w:pPr>
        <w:spacing w:before="0" w:after="0"/>
        <w:ind w:left="120"/>
        <w:jc w:val="center"/>
      </w:pPr>
      <w:r>
        <w:rPr>
          <w:rFonts w:ascii="Times New Roman" w:hAnsi="Times New Roman"/>
          <w:b w:val="false"/>
          <w:i w:val="false"/>
          <w:color w:val="000000"/>
          <w:sz w:val="21"/>
        </w:rPr>
        <w:t>[Filed 6/6/89, Notice 4/5/89—published 6/28/89, effective 8/2/89]</w:t>
      </w:r>
    </w:p>
    <w:p>
      <w:pPr>
        <w:spacing w:before="0" w:after="0"/>
        <w:ind w:left="120"/>
        <w:jc w:val="center"/>
      </w:pPr>
      <w:r>
        <w:rPr>
          <w:rFonts w:ascii="Times New Roman" w:hAnsi="Times New Roman"/>
          <w:b w:val="false"/>
          <w:i w:val="false"/>
          <w:color w:val="000000"/>
          <w:sz w:val="21"/>
        </w:rPr>
        <w:t>[Filed 11/4/91, Notice 8/21/91—published 11/27/91, effective 1/1/92]</w:t>
      </w:r>
    </w:p>
    <w:p>
      <w:pPr>
        <w:spacing w:before="0" w:after="0"/>
        <w:ind w:left="120"/>
        <w:jc w:val="center"/>
      </w:pPr>
      <w:r>
        <w:rPr>
          <w:rFonts w:ascii="Times New Roman" w:hAnsi="Times New Roman"/>
          <w:b w:val="false"/>
          <w:i w:val="false"/>
          <w:color w:val="000000"/>
          <w:sz w:val="21"/>
        </w:rPr>
        <w:t>[Filed 7/29/92, Notice 5/13/92—published 8/19/92, effective 9/23/92]</w:t>
      </w:r>
    </w:p>
    <w:p>
      <w:pPr>
        <w:spacing w:before="0" w:after="0"/>
        <w:ind w:left="120"/>
        <w:jc w:val="center"/>
      </w:pPr>
      <w:r>
        <w:rPr>
          <w:rFonts w:ascii="Times New Roman" w:hAnsi="Times New Roman"/>
          <w:b w:val="false"/>
          <w:i w:val="false"/>
          <w:color w:val="000000"/>
          <w:sz w:val="21"/>
        </w:rPr>
        <w:t>[Filed 7/30/93, Notice 5/26/93—published 8/18/93, effective 9/22/93]</w:t>
      </w:r>
    </w:p>
    <w:p>
      <w:pPr>
        <w:spacing w:before="0" w:after="0"/>
        <w:ind w:left="120"/>
        <w:jc w:val="center"/>
      </w:pPr>
      <w:r>
        <w:rPr>
          <w:rFonts w:ascii="Times New Roman" w:hAnsi="Times New Roman"/>
          <w:b w:val="false"/>
          <w:i w:val="false"/>
          <w:color w:val="000000"/>
          <w:sz w:val="21"/>
        </w:rPr>
        <w:t>[Filed 11/4/94, Notice 6/22/94—published 11/23/94, effective 12/28/94]</w:t>
      </w:r>
    </w:p>
    <w:p>
      <w:pPr>
        <w:spacing w:before="0" w:after="0"/>
        <w:ind w:left="120"/>
        <w:jc w:val="center"/>
      </w:pPr>
      <w:r>
        <w:rPr>
          <w:rFonts w:ascii="Times New Roman" w:hAnsi="Times New Roman"/>
          <w:b w:val="false"/>
          <w:i w:val="false"/>
          <w:color w:val="000000"/>
          <w:sz w:val="21"/>
        </w:rPr>
        <w:t>[Filed 3/22/95, Notice 1/18/95—published 4/12/95, effective 5/17/95]</w:t>
      </w:r>
    </w:p>
    <w:p>
      <w:pPr>
        <w:spacing w:before="0" w:after="0"/>
        <w:ind w:left="120"/>
        <w:jc w:val="center"/>
      </w:pPr>
      <w:r>
        <w:rPr>
          <w:rFonts w:ascii="Times New Roman" w:hAnsi="Times New Roman"/>
          <w:b w:val="false"/>
          <w:i w:val="false"/>
          <w:color w:val="000000"/>
          <w:sz w:val="21"/>
        </w:rPr>
        <w:t>[Filed 1/26/96, Notice 11/22/95—published 2/14/96, effective 3/20/96]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7/24/96, Notice 6/5/96—published 8/14/96, effective 9/18/96]</w:t>
      </w:r>
    </w:p>
    <w:p>
      <w:pPr>
        <w:spacing w:before="0" w:after="0"/>
        <w:ind w:left="120"/>
        <w:jc w:val="center"/>
      </w:pPr>
      <w:r>
        <w:rPr>
          <w:rFonts w:ascii="Times New Roman" w:hAnsi="Times New Roman"/>
          <w:b w:val="false"/>
          <w:i w:val="false"/>
          <w:color w:val="000000"/>
          <w:sz w:val="21"/>
        </w:rPr>
        <w:t>[Filed 10/18/96, Notice 8/14/96—published 11/6/96, effective 12/11/96]</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3/6/97, Notice 1/1/97—published 3/26/97, effective 4/30/97]</w:t>
      </w:r>
    </w:p>
    <w:p>
      <w:pPr>
        <w:spacing w:before="0" w:after="0"/>
        <w:ind w:left="120"/>
        <w:jc w:val="center"/>
      </w:pPr>
      <w:r>
        <w:rPr>
          <w:rFonts w:ascii="Times New Roman" w:hAnsi="Times New Roman"/>
          <w:b w:val="false"/>
          <w:i w:val="false"/>
          <w:color w:val="000000"/>
          <w:sz w:val="21"/>
        </w:rPr>
        <w:t>[Filed 7/24/97, Notice 6/4/97—published 8/13/97, effective 9/17/97]</w:t>
      </w:r>
    </w:p>
    <w:p>
      <w:pPr>
        <w:spacing w:before="0" w:after="0"/>
        <w:ind w:left="120"/>
        <w:jc w:val="center"/>
      </w:pPr>
      <w:r>
        <w:rPr>
          <w:rFonts w:ascii="Times New Roman" w:hAnsi="Times New Roman"/>
          <w:b w:val="false"/>
          <w:i w:val="false"/>
          <w:color w:val="000000"/>
          <w:sz w:val="21"/>
        </w:rPr>
        <w:t>[Filed 9/5/97, Notice 6/18/97—published 9/24/97, effective 10/29/97]</w:t>
      </w:r>
    </w:p>
    <w:p>
      <w:pPr>
        <w:spacing w:before="0" w:after="0"/>
        <w:ind w:left="120"/>
        <w:jc w:val="center"/>
      </w:pPr>
      <w:r>
        <w:rPr>
          <w:rFonts w:ascii="Times New Roman" w:hAnsi="Times New Roman"/>
          <w:b w:val="false"/>
          <w:i w:val="false"/>
          <w:color w:val="000000"/>
          <w:sz w:val="21"/>
        </w:rPr>
        <w:t>[Filed 11/26/97, Notice 9/24/97—published 12/17/97, effective 1/21/98]</w:t>
      </w:r>
    </w:p>
    <w:p>
      <w:pPr>
        <w:spacing w:before="0" w:after="0"/>
        <w:ind w:left="120"/>
        <w:jc w:val="center"/>
      </w:pPr>
      <w:r>
        <w:rPr>
          <w:rFonts w:ascii="Times New Roman" w:hAnsi="Times New Roman"/>
          <w:b w:val="false"/>
          <w:i w:val="false"/>
          <w:color w:val="000000"/>
          <w:sz w:val="21"/>
        </w:rPr>
        <w:t>[Filed 2/6/98, Notice 12/3/97—published 2/25/98, effective 4/1/98]</w:t>
      </w:r>
    </w:p>
    <w:p>
      <w:pPr>
        <w:spacing w:before="0" w:after="0"/>
        <w:ind w:left="120"/>
        <w:jc w:val="center"/>
      </w:pPr>
      <w:r>
        <w:rPr>
          <w:rFonts w:ascii="Times New Roman" w:hAnsi="Times New Roman"/>
          <w:b w:val="false"/>
          <w:i w:val="false"/>
          <w:color w:val="000000"/>
          <w:sz w:val="21"/>
        </w:rPr>
        <w:t>[Filed 3/20/98, Notice 12/17/97—published 4/8/98, effective 5/13/98]</w:t>
      </w:r>
    </w:p>
    <w:p>
      <w:pPr>
        <w:spacing w:before="0" w:after="0"/>
        <w:ind w:left="120"/>
        <w:jc w:val="center"/>
      </w:pPr>
      <w:r>
        <w:rPr>
          <w:rFonts w:ascii="Times New Roman" w:hAnsi="Times New Roman"/>
          <w:b w:val="false"/>
          <w:i w:val="false"/>
          <w:color w:val="000000"/>
          <w:sz w:val="21"/>
        </w:rPr>
        <w:t>[Filed 3/20/98, Notice 1/28/98—published 4/8/98, effective 5/13/98]</w:t>
      </w:r>
    </w:p>
    <w:p>
      <w:pPr>
        <w:spacing w:before="0" w:after="0"/>
        <w:ind w:left="120"/>
        <w:jc w:val="center"/>
      </w:pPr>
      <w:r>
        <w:rPr>
          <w:rFonts w:ascii="Times New Roman" w:hAnsi="Times New Roman"/>
          <w:b w:val="false"/>
          <w:i w:val="false"/>
          <w:color w:val="000000"/>
          <w:sz w:val="21"/>
        </w:rPr>
        <w:t>[Filed 5/29/98, Notice 2/25/98—published 6/17/98, effective 7/22/98]</w:t>
      </w:r>
    </w:p>
    <w:p>
      <w:pPr>
        <w:spacing w:before="0" w:after="0"/>
        <w:ind w:left="120"/>
        <w:jc w:val="center"/>
      </w:pPr>
      <w:r>
        <w:rPr>
          <w:rFonts w:ascii="Times New Roman" w:hAnsi="Times New Roman"/>
          <w:b w:val="false"/>
          <w:i w:val="false"/>
          <w:color w:val="000000"/>
          <w:sz w:val="21"/>
        </w:rPr>
        <w:t>[Filed 8/20/98, Notice 7/15/98—published 9/9/98, effective 10/14/98]</w:t>
      </w:r>
    </w:p>
    <w:p>
      <w:pPr>
        <w:spacing w:before="0" w:after="0"/>
        <w:ind w:left="120"/>
        <w:jc w:val="center"/>
      </w:pPr>
      <w:r>
        <w:rPr>
          <w:rFonts w:ascii="Times New Roman" w:hAnsi="Times New Roman"/>
          <w:b w:val="false"/>
          <w:i w:val="false"/>
          <w:color w:val="000000"/>
          <w:sz w:val="21"/>
        </w:rPr>
        <w:t>[Filed 10/1/98, Notice 8/12/98—published 10/21/98, effective 11/25/98]</w:t>
      </w:r>
    </w:p>
    <w:p>
      <w:pPr>
        <w:spacing w:before="0" w:after="0"/>
        <w:ind w:left="120"/>
        <w:jc w:val="center"/>
      </w:pPr>
      <w:r>
        <w:rPr>
          <w:rFonts w:ascii="Times New Roman" w:hAnsi="Times New Roman"/>
          <w:b w:val="false"/>
          <w:i w:val="false"/>
          <w:color w:val="000000"/>
          <w:sz w:val="21"/>
        </w:rPr>
        <w:t>[Filed 11/4/98, Notice 6/17/98—published 12/2/98, effective 1/6/99]</w:t>
      </w:r>
    </w:p>
    <w:p>
      <w:pPr>
        <w:spacing w:before="0" w:after="0"/>
        <w:ind w:left="120"/>
        <w:jc w:val="center"/>
      </w:pPr>
      <w:r>
        <w:rPr>
          <w:rFonts w:ascii="Times New Roman" w:hAnsi="Times New Roman"/>
          <w:b w:val="false"/>
          <w:i w:val="false"/>
          <w:color w:val="000000"/>
          <w:sz w:val="21"/>
        </w:rPr>
        <w:t>[Filed 11/25/98, Notice 9/9/98—published 12/16/98, effective 1/20/99]</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emergency 7/23/99 after Notice 6/16/99—published 8/11/99, effective 7/23/99]</w:t>
      </w:r>
    </w:p>
    <w:p>
      <w:pPr>
        <w:spacing w:before="0" w:after="0"/>
        <w:ind w:left="120"/>
        <w:jc w:val="center"/>
      </w:pPr>
      <w:r>
        <w:rPr>
          <w:rFonts w:ascii="Times New Roman" w:hAnsi="Times New Roman"/>
          <w:b w:val="false"/>
          <w:i w:val="false"/>
          <w:color w:val="000000"/>
          <w:sz w:val="21"/>
        </w:rPr>
        <w:t>[Filed emergency 1/18/01 after Notice 11/29/00—published 2/7/01, effective 2/7/01]</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9/12/02, Notice 6/12/02—published 10/2/02, effective 11/6/02]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9/24/04, Notice 5/12/04—published 10/13/04, effective 11/17/04]</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0684C</w:t>
      </w:r>
      <w:r>
        <w:rPr>
          <w:rFonts w:ascii="Times New Roman" w:hAnsi="Times New Roman"/>
          <w:b w:val="false"/>
          <w:i w:val="false"/>
          <w:color w:val="000000"/>
          <w:sz w:val="21"/>
        </w:rPr>
        <w:t xml:space="preserve"> (Notice ARC 0530C,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7664C</w:t>
      </w:r>
      <w:r>
        <w:rPr>
          <w:rFonts w:ascii="Times New Roman" w:hAnsi="Times New Roman"/>
          <w:b w:val="false"/>
          <w:i w:val="false"/>
          <w:color w:val="000000"/>
          <w:sz w:val="21"/>
        </w:rPr>
        <w:t xml:space="preserve"> (Notice ARC 7404C,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Effective date of subrule 1.3(1) delayed 70 days by the Administrative Rules Review Committee at its meeting held March 11, 1996; delay lifted by this Committee at its meeting held May 14, 1996, effective May 15, 1996.</w:t>
      </w:r>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pdf" Type="http://schemas.openxmlformats.org/officeDocument/2006/relationships/hyperlink" Id="rId5"/>
    <Relationship TargetMode="External" Target="https://www.legis.iowa.gov/docs/ico/chapter/542B.2.pdf" Type="http://schemas.openxmlformats.org/officeDocument/2006/relationships/hyperlink" Id="rId6"/>
    <Relationship TargetMode="External" Target="https://www.legis.iowa.gov/docs/ico/chapter/542B.2.pdf" Type="http://schemas.openxmlformats.org/officeDocument/2006/relationships/hyperlink" Id="rId7"/>
    <Relationship TargetMode="External" Target="https://www.legis.iowa.gov/docs/ico/chapter/542B.2.pdf" Type="http://schemas.openxmlformats.org/officeDocument/2006/relationships/hyperlink" Id="rId8"/>
    <Relationship TargetMode="External" Target="https://www.legis.iowa.gov/docs/ico/chapter/542B.2.pdf" Type="http://schemas.openxmlformats.org/officeDocument/2006/relationships/hyperlink" Id="rId9"/>
    <Relationship TargetMode="External" Target="https://www.legis.iowa.gov/docs/ico/chapter/542B.2.pdf" Type="http://schemas.openxmlformats.org/officeDocument/2006/relationships/hyperlink" Id="rId10"/>
    <Relationship TargetMode="External" Target="https://www.legis.iowa.gov/docs/ico/chapter/542B.2.pdf" Type="http://schemas.openxmlformats.org/officeDocument/2006/relationships/hyperlink" Id="rId11"/>
    <Relationship TargetMode="External" Target="https://www.legis.iowa.gov/docs/ico/chapter/542B.27.pdf" Type="http://schemas.openxmlformats.org/officeDocument/2006/relationships/hyperlink" Id="rId12"/>
    <Relationship TargetMode="External" Target="https://www.legis.iowa.gov/docs/ico/chapter/542B.2.pdf" Type="http://schemas.openxmlformats.org/officeDocument/2006/relationships/hyperlink" Id="rId13"/>
    <Relationship TargetMode="External" Target="https://www.legis.iowa.gov/docs/ico/chapter/542B.27.pdf" Type="http://schemas.openxmlformats.org/officeDocument/2006/relationships/hyperlink" Id="rId14"/>
    <Relationship TargetMode="External" Target="https://www.legis.iowa.gov/docs/ico/chapter/542B.2.pdf" Type="http://schemas.openxmlformats.org/officeDocument/2006/relationships/hyperlink" Id="rId15"/>
    <Relationship TargetMode="External" Target="https://www.legis.iowa.gov/docs/iac/chapter/7.2503.pdf" Type="http://schemas.openxmlformats.org/officeDocument/2006/relationships/hyperlink" Id="rId16"/>
    <Relationship TargetMode="External" Target="https://www.legis.iowa.gov/docs/iac/chapter/7.2504.pdf" Type="http://schemas.openxmlformats.org/officeDocument/2006/relationships/hyperlink" Id="rId17"/>
    <Relationship TargetMode="External" Target="https://www.legis.iowa.gov/docs/iac/chapter/7.2504.pdf" Type="http://schemas.openxmlformats.org/officeDocument/2006/relationships/hyperlink" Id="rId18"/>
    <Relationship TargetMode="External" Target="https://www.legis.iowa.gov/docs/ico/chapter/542B.2.pdf" Type="http://schemas.openxmlformats.org/officeDocument/2006/relationships/hyperlink" Id="rId19"/>
    <Relationship TargetMode="External" Target="https://www.legis.iowa.gov/docs/ico/chapter/542B.27.pdf" Type="http://schemas.openxmlformats.org/officeDocument/2006/relationships/hyperlink" Id="rId20"/>
    <Relationship TargetMode="External" Target="https://www.legis.iowa.gov/docs/ico/chapter/542B.pdf" Type="http://schemas.openxmlformats.org/officeDocument/2006/relationships/hyperlink" Id="rId21"/>
    <Relationship TargetMode="External" Target="https://www.legis.iowa.gov/docs/iac/chapter/481.1065.pdf" Type="http://schemas.openxmlformats.org/officeDocument/2006/relationships/hyperlink" Id="rId22"/>
    <Relationship TargetMode="External" Target="https://www.legis.iowa.gov/docs/iac/rule/481.1065.1.pdf" Type="http://schemas.openxmlformats.org/officeDocument/2006/relationships/hyperlink" Id="rId23"/>
    <Relationship TargetMode="External" Target="https://www.legis.iowa.gov/docs/ico/chapter/544A.18.pdf" Type="http://schemas.openxmlformats.org/officeDocument/2006/relationships/hyperlink" Id="rId24"/>
    <Relationship TargetMode="External" Target="https://www.legis.iowa.gov/docs/ico/chapter/544A.18.pdf" Type="http://schemas.openxmlformats.org/officeDocument/2006/relationships/hyperlink" Id="rId25"/>
    <Relationship TargetMode="External" Target="https://www.legis.iowa.gov/docs/ico/chapter/544A.18.pdf" Type="http://schemas.openxmlformats.org/officeDocument/2006/relationships/hyperlink" Id="rId26"/>
    <Relationship TargetMode="External" Target="https://www.legis.iowa.gov/docs/ico/chapter/544A.18.pdf" Type="http://schemas.openxmlformats.org/officeDocument/2006/relationships/hyperlink" Id="rId27"/>
    <Relationship TargetMode="External" Target="https://www.legis.iowa.gov/docs/ico/chapter/544A.18.pdf" Type="http://schemas.openxmlformats.org/officeDocument/2006/relationships/hyperlink" Id="rId28"/>
    <Relationship TargetMode="External" Target="https://www.legis.iowa.gov/docs/ico/chapter/17A.9A.pdf" Type="http://schemas.openxmlformats.org/officeDocument/2006/relationships/hyperlink" Id="rId29"/>
    <Relationship TargetMode="External" Target="https://www.legis.iowa.gov/docs/ico/chapter/542B.2.pdf" Type="http://schemas.openxmlformats.org/officeDocument/2006/relationships/hyperlink" Id="rId30"/>
    <Relationship TargetMode="External" Target="https://www.legis.iowa.gov/docs/ico/chapter/542B.3.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