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1037</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14"/>
        </w:rPr>
        <w:t>[Prior to 6/10/26, see Accountancy Examining Board[193A]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481—1037.1</w:t>
      </w:r>
      <w:r>
        <w:rPr>
          <w:rFonts w:ascii="Times New Roman" w:hAnsi="Times New Roman"/>
          <w:b/>
          <w:i w:val="false"/>
          <w:color w:val="000000"/>
          <w:sz w:val="22"/>
        </w:rPr>
        <w:t xml:space="preserve">(542)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order compliance with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revoke a practice privilege, and impose civil penalties by order against a firm, other entity, or individual that is not licensed by the board pursuant to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based on the unlawful practices specified in Iowa Code sections </w:t>
      </w:r>
      <w:hyperlink r:id="rId7">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In addition to the procedures set forth in Iowa Code section </w:t>
      </w:r>
      <w:hyperlink r:id="rId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this chapter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481—1037.2</w:t>
      </w:r>
      <w:r>
        <w:rPr>
          <w:rFonts w:ascii="Times New Roman" w:hAnsi="Times New Roman"/>
          <w:b/>
          <w:i w:val="false"/>
          <w:color w:val="000000"/>
          <w:sz w:val="22"/>
        </w:rPr>
        <w:t xml:space="preserve">(17A,542)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Iowa Code section </w:t>
      </w:r>
      <w:hyperlink r:id="rId11">
        <w:r>
          <w:rPr>
            <w:rStyle w:val="Hyperlink"/>
            <w:rFonts w:ascii="Times New Roman" w:hAnsi="Times New Roman"/>
            <w:b w:val="false"/>
            <w:i w:val="false"/>
            <w:color w:val="000000"/>
            <w:sz w:val="22"/>
          </w:rPr>
          <w:t>542.11</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w:t>
      </w:r>
      <w:hyperlink r:id="rId12">
        <w:r>
          <w:rPr>
            <w:rStyle w:val="Hyperlink"/>
            <w:rFonts w:ascii="Times New Roman" w:hAnsi="Times New Roman"/>
            <w:b w:val="false"/>
            <w:i w:val="false"/>
            <w:color w:val="000000"/>
            <w:sz w:val="22"/>
          </w:rPr>
          <w:t>481—Chapter 1035</w:t>
        </w:r>
      </w:hyperlink>
      <w:r>
        <w:rPr>
          <w:rFonts w:ascii="Times New Roman" w:hAnsi="Times New Roman"/>
          <w:b w:val="false"/>
          <w:i w:val="false"/>
          <w:color w:val="000000"/>
          <w:sz w:val="22"/>
        </w:rPr>
        <w:t xml:space="preserve">. Complaint and investigatory files concerning nonlicensees are not confidential except as may be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481—1037.3</w:t>
      </w:r>
      <w:r>
        <w:rPr>
          <w:rFonts w:ascii="Times New Roman" w:hAnsi="Times New Roman"/>
          <w:b/>
          <w:i w:val="false"/>
          <w:color w:val="000000"/>
          <w:sz w:val="22"/>
        </w:rPr>
        <w:t xml:space="preserve">(17A,542)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enforce compliance with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to impose a civil penalty will be served upon the nonlicensee by certified mail, return receipt requested, or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the nature of the intended order to enforce compliance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whether a practice privilege will be revoked.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can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send a written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481—1037.4</w:t>
      </w:r>
      <w:r>
        <w:rPr>
          <w:rFonts w:ascii="Times New Roman" w:hAnsi="Times New Roman"/>
          <w:b/>
          <w:i w:val="false"/>
          <w:color w:val="000000"/>
          <w:sz w:val="22"/>
        </w:rPr>
        <w:t xml:space="preserve">(17A,542)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1037.4(1)</w:t>
      </w:r>
      <w:r>
        <w:rPr>
          <w:rFonts w:ascii="Times New Roman" w:hAnsi="Times New Roman"/>
          <w:b w:val="false"/>
          <w:i w:val="false"/>
          <w:color w:val="000000"/>
          <w:sz w:val="22"/>
        </w:rPr>
        <w:t> </w:t>
      </w:r>
      <w:r>
        <w:rPr>
          <w:rFonts w:ascii="Times New Roman" w:hAnsi="Times New Roman"/>
          <w:b w:val="false"/>
          <w:i w:val="false"/>
          <w:color w:val="000000"/>
          <w:sz w:val="22"/>
        </w:rPr>
        <w:t>Nonlicensees have 30 days to request a hearing. The 30-day time frame begins on the date the notice is mailed if served through certified mail to the last-known address, or 30 days from the date of service if service is accepted or made in accordance with Iowa Rule of Civil Procedure 1.305. A request for hearing has to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revoking the practice privilege, and requiring compliance with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revoking the practice privilege, and requiring compliance with Iowa Code chapter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481—1037.5</w:t>
      </w:r>
      <w:r>
        <w:rPr>
          <w:rFonts w:ascii="Times New Roman" w:hAnsi="Times New Roman"/>
          <w:b/>
          <w:i w:val="false"/>
          <w:color w:val="000000"/>
          <w:sz w:val="22"/>
        </w:rPr>
        <w:t xml:space="preserve">(542) </w:t>
      </w:r>
      <w:r>
        <w:rPr>
          <w:rFonts w:ascii="Times New Roman" w:hAnsi="Times New Roman"/>
          <w:b/>
          <w:i w:val="false"/>
          <w:color w:val="000000"/>
          <w:sz w:val="22"/>
        </w:rPr>
        <w:t xml:space="preserve">“Safe harbor” language. </w:t>
      </w:r>
      <w:r>
        <w:rPr>
          <w:rFonts w:ascii="Times New Roman" w:hAnsi="Times New Roman"/>
          <w:b w:val="false"/>
          <w:i w:val="false"/>
          <w:color w:val="000000"/>
          <w:sz w:val="22"/>
        </w:rPr>
        <w:t xml:space="preserve">Persons who do not hold a CPA certificate or LPA license, firms that do not hold a CPA or LPA firm permit to practice, or individuals or firms that are ineligible to exercise a practice privilege cannot use in any statement relating to the financial affairs of a person or entity language that is conventionally used by CPAs or LPAs in reports on financial statements. Pursuant to Iowa Code section </w:t>
      </w:r>
      <w:hyperlink r:id="rId19">
        <w:r>
          <w:rPr>
            <w:rStyle w:val="Hyperlink"/>
            <w:rFonts w:ascii="Times New Roman" w:hAnsi="Times New Roman"/>
            <w:b w:val="false"/>
            <w:i w:val="false"/>
            <w:color w:val="000000"/>
            <w:sz w:val="22"/>
          </w:rPr>
          <w:t>542.13(8)</w:t>
        </w:r>
      </w:hyperlink>
      <w:r>
        <w:rPr>
          <w:rFonts w:ascii="Times New Roman" w:hAnsi="Times New Roman"/>
          <w:b w:val="false"/>
          <w:i w:val="false"/>
          <w:color w:val="000000"/>
          <w:sz w:val="22"/>
        </w:rPr>
        <w:t>, such persons or firms may use the following “safe harbor” language:</w:t>
      </w:r>
    </w:p>
    <w:p>
      <w:pPr>
        <w:spacing w:before="0" w:after="0"/>
        <w:ind w:left="324"/>
        <w:jc w:val="both"/>
      </w:pPr>
      <w:r>
        <w:rPr>
          <w:rFonts w:ascii="Times New Roman" w:hAnsi="Times New Roman"/>
          <w:b w:val="false"/>
          <w:i w:val="false"/>
          <w:color w:val="000000"/>
          <w:sz w:val="22"/>
        </w:rPr>
        <w:t>“I (we) have prepared the accompanying (financial statements) of (name of entity) as of (time period) for the (period) then ended. This presentation is limited to preparing in the form of financial statements information that is the representation of management (owners). I (we) have not audited, reviewed or compiled the accompanying financial statements and accordingly do not express an opinion or any other form of assurance on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481—1037.6</w:t>
      </w:r>
      <w:r>
        <w:rPr>
          <w:rFonts w:ascii="Times New Roman" w:hAnsi="Times New Roman"/>
          <w:b/>
          <w:i w:val="false"/>
          <w:color w:val="000000"/>
          <w:sz w:val="22"/>
        </w:rPr>
        <w:t xml:space="preserve">(542)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The board may also pursue other enforcement as provided in Iowa Code sections </w:t>
      </w:r>
      <w:hyperlink r:id="rId20">
        <w:r>
          <w:rPr>
            <w:rStyle w:val="Hyperlink"/>
            <w:rFonts w:ascii="Times New Roman" w:hAnsi="Times New Roman"/>
            <w:b w:val="false"/>
            <w:i w:val="false"/>
            <w:color w:val="000000"/>
            <w:sz w:val="22"/>
          </w:rPr>
          <w:t>542.14(8)</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542.14(9)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7693C</w:t>
      </w:r>
      <w:r>
        <w:rPr>
          <w:rFonts w:ascii="Times New Roman" w:hAnsi="Times New Roman"/>
          <w:b w:val="false"/>
          <w:i w:val="false"/>
          <w:color w:val="000000"/>
          <w:sz w:val="21"/>
        </w:rPr>
        <w:t xml:space="preserve"> (Notice ARC 7400C,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13.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co/chapter/542.14.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542.11.pdf" Type="http://schemas.openxmlformats.org/officeDocument/2006/relationships/hyperlink" Id="rId11"/>
    <Relationship TargetMode="External" Target="https://www.legis.iowa.gov/docs/iac/chapter/481.103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542.13.pdf" Type="http://schemas.openxmlformats.org/officeDocument/2006/relationships/hyperlink" Id="rId19"/>
    <Relationship TargetMode="External" Target="https://www.legis.iowa.gov/docs/ico/chapter/542.14.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15.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2.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