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BINGO</w:t>
      </w:r>
    </w:p>
    <w:p>
      <w:pPr>
        <w:spacing w:before="0" w:after="0"/>
        <w:ind w:left="120"/>
        <w:jc w:val="center"/>
      </w:pPr>
      <w:r>
        <w:rPr>
          <w:rFonts w:ascii="Times New Roman" w:hAnsi="Times New Roman"/>
          <w:b w:val="false"/>
          <w:i w:val="false"/>
          <w:color w:val="000000"/>
          <w:sz w:val="14"/>
        </w:rPr>
        <w:t>[Prior to 12/17/86, Revenue Department[730], Ch 94]</w:t>
      </w:r>
    </w:p>
    <w:p>
      <w:pPr>
        <w:spacing w:before="0" w:after="0"/>
        <w:ind w:left="120"/>
        <w:jc w:val="center"/>
      </w:pPr>
      <w:r>
        <w:rPr>
          <w:rFonts w:ascii="Times New Roman" w:hAnsi="Times New Roman"/>
          <w:b w:val="false"/>
          <w:i w:val="false"/>
          <w:color w:val="000000"/>
          <w:sz w:val="14"/>
        </w:rPr>
        <w:t>[Prior to 11/18/87, Racing and Gaming Division[195]]</w:t>
      </w:r>
    </w:p>
    <w:p>
      <w:pPr>
        <w:spacing w:before="0" w:after="0"/>
        <w:ind w:left="120"/>
        <w:jc w:val="center"/>
      </w:pPr>
      <w:r>
        <w:rPr>
          <w:rFonts w:ascii="Times New Roman" w:hAnsi="Times New Roman"/>
          <w:b w:val="false"/>
          <w:i w:val="false"/>
          <w:color w:val="000000"/>
          <w:sz w:val="14"/>
        </w:rPr>
        <w:t>[Prior to 6/14/89, Racing and Gaming Division[491], Ch 23]</w:t>
      </w:r>
    </w:p>
    <w:p>
      <w:pPr>
        <w:spacing w:before="0" w:after="0"/>
        <w:ind w:left="120"/>
        <w:jc w:val="center"/>
      </w:pPr>
      <w:r>
        <w:rPr>
          <w:rFonts w:ascii="Times New Roman" w:hAnsi="Times New Roman"/>
          <w:b w:val="false"/>
          <w:i w:val="false"/>
          <w:color w:val="000000"/>
          <w:sz w:val="14"/>
        </w:rPr>
        <w:t>[Prior to 9/5/90, this chapter was entitled “Qualified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481—103.1</w:t>
      </w:r>
      <w:r>
        <w:rPr>
          <w:rFonts w:ascii="Times New Roman" w:hAnsi="Times New Roman"/>
          <w:b/>
          <w:i w:val="false"/>
          <w:color w:val="000000"/>
          <w:sz w:val="22"/>
        </w:rPr>
        <w:t xml:space="preserve">(99B)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definitions found in Iowa Code chapter </w:t>
      </w:r>
      <w:hyperlink r:id="rId5">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and in rule </w:t>
      </w:r>
      <w:hyperlink r:id="rId6">
        <w:r>
          <w:rPr>
            <w:rStyle w:val="Hyperlink"/>
            <w:rFonts w:ascii="Times New Roman" w:hAnsi="Times New Roman"/>
            <w:b w:val="false"/>
            <w:i w:val="false"/>
            <w:color w:val="000000"/>
            <w:sz w:val="22"/>
          </w:rPr>
          <w:t>481—100.1</w:t>
        </w:r>
      </w:hyperlink>
      <w:r>
        <w:rPr>
          <w:rFonts w:ascii="Times New Roman" w:hAnsi="Times New Roman"/>
          <w:b w:val="false"/>
          <w:i w:val="false"/>
          <w:color w:val="000000"/>
          <w:sz w:val="22"/>
        </w:rPr>
        <w:t>(99B), the following definitions apply to all qualified organizations where bingo is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“Cash”</w:t>
      </w:r>
      <w:r>
        <w:rPr>
          <w:rFonts w:ascii="Times New Roman" w:hAnsi="Times New Roman"/>
          <w:b w:val="false"/>
          <w:i w:val="false"/>
          <w:color w:val="000000"/>
          <w:sz w:val="22"/>
        </w:rPr>
        <w:t> </w:t>
      </w:r>
      <w:r>
        <w:rPr>
          <w:rFonts w:ascii="Times New Roman" w:hAnsi="Times New Roman"/>
          <w:b w:val="false"/>
          <w:i w:val="false"/>
          <w:color w:val="000000"/>
          <w:sz w:val="22"/>
        </w:rPr>
        <w:t>means any legal tender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“Category”</w:t>
      </w:r>
      <w:r>
        <w:rPr>
          <w:rFonts w:ascii="Times New Roman" w:hAnsi="Times New Roman"/>
          <w:b w:val="false"/>
          <w:i w:val="false"/>
          <w:color w:val="000000"/>
          <w:sz w:val="22"/>
        </w:rPr>
        <w:t> </w:t>
      </w:r>
      <w:r>
        <w:rPr>
          <w:rFonts w:ascii="Times New Roman" w:hAnsi="Times New Roman"/>
          <w:b w:val="false"/>
          <w:i w:val="false"/>
          <w:color w:val="000000"/>
          <w:sz w:val="22"/>
        </w:rPr>
        <w:t>means the name given to a particular type of playing face to distinguish one from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“Playing face”</w:t>
      </w:r>
      <w:r>
        <w:rPr>
          <w:rFonts w:ascii="Times New Roman" w:hAnsi="Times New Roman"/>
          <w:b w:val="false"/>
          <w:i w:val="false"/>
          <w:color w:val="000000"/>
          <w:sz w:val="22"/>
        </w:rPr>
        <w:t> </w:t>
      </w:r>
      <w:r>
        <w:rPr>
          <w:rFonts w:ascii="Times New Roman" w:hAnsi="Times New Roman"/>
          <w:b w:val="false"/>
          <w:i w:val="false"/>
          <w:color w:val="000000"/>
          <w:sz w:val="22"/>
        </w:rPr>
        <w:t>means the grid on which a player marks numbers and letters called as the game progresses.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481—103.2</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is required to conduct a bingo occasion unless the requirements of Iowa Code section </w:t>
      </w:r>
      <w:hyperlink r:id="rId7">
        <w:r>
          <w:rPr>
            <w:rStyle w:val="Hyperlink"/>
            <w:rFonts w:ascii="Times New Roman" w:hAnsi="Times New Roman"/>
            <w:b w:val="false"/>
            <w:i w:val="false"/>
            <w:color w:val="000000"/>
            <w:sz w:val="22"/>
          </w:rPr>
          <w:t>99B.23</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val="false"/>
          <w:color w:val="000000"/>
          <w:sz w:val="22"/>
        </w:rPr>
        <w:t>Bingo occasions are restricted to the location for which application is made by the qualified organization and approved by the department. For good cause, a license may be transferred to a different location after written notice by the licensee and approval by the department. “Good cause,” for purposes of this subrule, may include flood, fire or other natural disasters; sale of the building; or nonrenewal of 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any organization may conduct bingo, a license application must be approved by the department. Application and license requirements are found in rules </w:t>
      </w:r>
      <w:hyperlink r:id="rId8">
        <w:r>
          <w:rPr>
            <w:rStyle w:val="Hyperlink"/>
            <w:rFonts w:ascii="Times New Roman" w:hAnsi="Times New Roman"/>
            <w:b w:val="false"/>
            <w:i w:val="false"/>
            <w:color w:val="000000"/>
            <w:sz w:val="22"/>
          </w:rPr>
          <w:t>481—100.3(99B)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481—100.4(99B)</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481—100.5(99B)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103.2(4)</w:t>
      </w:r>
      <w:r>
        <w:rPr>
          <w:rFonts w:ascii="Times New Roman" w:hAnsi="Times New Roman"/>
          <w:b w:val="false"/>
          <w:i w:val="false"/>
          <w:color w:val="000000"/>
          <w:sz w:val="22"/>
        </w:rPr>
        <w:t> </w:t>
      </w:r>
      <w:r>
        <w:rPr>
          <w:rFonts w:ascii="Times New Roman" w:hAnsi="Times New Roman"/>
          <w:b w:val="false"/>
          <w:i w:val="false"/>
          <w:color w:val="000000"/>
          <w:sz w:val="22"/>
        </w:rPr>
        <w:t xml:space="preserve">Bingo occasions may be held as frequently as set forth in Iowa Code section </w:t>
      </w:r>
      <w:hyperlink r:id="rId11">
        <w:r>
          <w:rPr>
            <w:rStyle w:val="Hyperlink"/>
            <w:rFonts w:ascii="Times New Roman" w:hAnsi="Times New Roman"/>
            <w:b w:val="false"/>
            <w:i w:val="false"/>
            <w:color w:val="000000"/>
            <w:sz w:val="22"/>
          </w:rPr>
          <w:t>99B.12</w:t>
        </w:r>
      </w:hyperlink>
      <w:r>
        <w:rPr>
          <w:rFonts w:ascii="Times New Roman" w:hAnsi="Times New Roman"/>
          <w:b w:val="false"/>
          <w:i w:val="false"/>
          <w:color w:val="000000"/>
          <w:sz w:val="22"/>
        </w:rPr>
        <w:t>. A week starts on Sunday and ends on Saturday. At the end of each occasion, the person conducting the games shall announce both the gross receipts and the use to which the net receipts will be dedicated and distributed.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481—103.3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481—103.4</w:t>
      </w:r>
      <w:r>
        <w:rPr>
          <w:rFonts w:ascii="Times New Roman" w:hAnsi="Times New Roman"/>
          <w:b/>
          <w:i w:val="false"/>
          <w:color w:val="000000"/>
          <w:sz w:val="22"/>
        </w:rPr>
        <w:t xml:space="preserve">(99B) </w:t>
      </w:r>
      <w:r>
        <w:rPr>
          <w:rFonts w:ascii="Times New Roman" w:hAnsi="Times New Roman"/>
          <w:b/>
          <w:i w:val="false"/>
          <w:color w:val="000000"/>
          <w:sz w:val="22"/>
        </w:rPr>
        <w:t xml:space="preserve">Game of bingo. </w:t>
      </w:r>
      <w:r>
        <w:rPr>
          <w:rFonts w:ascii="Times New Roman" w:hAnsi="Times New Roman"/>
          <w:b w:val="false"/>
          <w:i w:val="false"/>
          <w:color w:val="000000"/>
          <w:sz w:val="22"/>
        </w:rPr>
        <w:t xml:space="preserve">Each game shall meet the requirements of “bingo” as defined in Iowa Code section </w:t>
      </w:r>
      <w:hyperlink r:id="rId12">
        <w:r>
          <w:rPr>
            <w:rStyle w:val="Hyperlink"/>
            <w:rFonts w:ascii="Times New Roman" w:hAnsi="Times New Roman"/>
            <w:b w:val="false"/>
            <w:i w:val="false"/>
            <w:color w:val="000000"/>
            <w:sz w:val="22"/>
          </w:rPr>
          <w:t>99B.1(6)</w:t>
        </w:r>
      </w:hyperlink>
      <w:r>
        <w:rPr>
          <w:rFonts w:ascii="Times New Roman" w:hAnsi="Times New Roman"/>
          <w:b w:val="false"/>
          <w:i w:val="false"/>
          <w:color w:val="000000"/>
          <w:sz w:val="22"/>
        </w:rPr>
        <w:t xml:space="preserve"> to be a legal game of bingo.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val="false"/>
          <w:color w:val="000000"/>
          <w:sz w:val="22"/>
        </w:rPr>
        <w:t>A fair and legal game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will be no concealed numbers on a playing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will be an announcer or caller.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Numbers will be announced so all players can hear clearly.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free space or spaces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caller selects and announces the numbers. If a caller miscalls a number or misreads a ball, only the number on the ball may be used. Miscalled numbers are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may require that a player have the last number called for a bingo if posted in the rules established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game ends when it is determined that a player has covered the announced pattern of spaces. The caller or another worker verifies the numbers on winning cards. The caller checks for additional bingos and officially closes the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Wild numbers are allowed if chosen using a random selection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val="false"/>
          <w:color w:val="000000"/>
          <w:sz w:val="22"/>
        </w:rPr>
        <w:t>Any player may request that balls drawn and not drawn be inventoried when the winning card or cards are verified in the presence of the responsible party or the responsible party’s designee and the caller. The player who requested verification may observe the 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val="false"/>
          <w:color w:val="000000"/>
          <w:sz w:val="22"/>
        </w:rPr>
        <w:t>The cost to play shall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each game will not exceed $50;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Cards or games may only be sold within the premises of the bingo occasion and will have a posted price;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 of each packet, playing face, or tear sheet will be the same for each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in a form provided in Iowa Code section </w:t>
      </w:r>
      <w:hyperlink r:id="rId13">
        <w:r>
          <w:rPr>
            <w:rStyle w:val="Hyperlink"/>
            <w:rFonts w:ascii="Times New Roman" w:hAnsi="Times New Roman"/>
            <w:b w:val="false"/>
            <w:i w:val="false"/>
            <w:color w:val="000000"/>
            <w:sz w:val="22"/>
          </w:rPr>
          <w:t>99B.5(2)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Free games will not be given, including gift cards redeemable for games. Free concession items, such as food, beverages or daubers,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val="false"/>
          <w:color w:val="000000"/>
          <w:sz w:val="22"/>
        </w:rPr>
        <w:t>Cards for each category shall be distinctly marked and easy to distinguish from all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Bingo games or cards may only be printed on one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each game, the bingo operator must ensure that duplicate playing faces are not sold.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w:t>
      </w:r>
      <w:r>
        <w:rPr>
          <w:rFonts w:ascii="Times New Roman" w:hAnsi="Times New Roman"/>
          <w:b/>
          <w:i w:val="false"/>
          <w:color w:val="000000"/>
          <w:sz w:val="22"/>
        </w:rPr>
        <w:t xml:space="preserve">(99B) </w:t>
      </w:r>
      <w:r>
        <w:rPr>
          <w:rFonts w:ascii="Times New Roman" w:hAnsi="Times New Roman"/>
          <w:b/>
          <w:i w:val="false"/>
          <w:color w:val="000000"/>
          <w:sz w:val="22"/>
        </w:rPr>
        <w:t xml:space="preserve">State rules and rules established by the licensee. </w:t>
      </w:r>
      <w:r>
        <w:rPr>
          <w:rFonts w:ascii="Times New Roman" w:hAnsi="Times New Roman"/>
          <w:b w:val="false"/>
          <w:i w:val="false"/>
          <w:color w:val="000000"/>
          <w:sz w:val="22"/>
        </w:rPr>
        <w:t>This chapter and house rules established by the licensee must be readily available to every bingo player during every bingo occasion, with rules established by the licensee posted on a sign near the front of the playing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Posted rules shall be in large, easily readable print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mailing address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Prices to play;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to indicate “bingo” to halt the game and collect a prize.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Rules related to reserved seating and age restrictions for children to play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posted before the beginning of each bingo occasion and not be changed after the bingo occasion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each game to be played, including an example of the winning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Price of each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Prize for each game or method for determining the prize for each game;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Jackpot rules if jackpot games will be played.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481—103.6</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 xml:space="preserve">Cash and merchandise prizes are subject to the limits set forth in Iowa Code section </w:t>
      </w:r>
      <w:hyperlink r:id="rId14">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The exact amount of the prize shall be announced before the beginning of each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val="false"/>
          <w:color w:val="000000"/>
          <w:sz w:val="22"/>
        </w:rPr>
        <w:t xml:space="preserve">Prizes shall be recorded each occasion on the daily bingo summary (Table A—end of this chapter) as they are paid by listing the number of the game; the winning pattern; the type, color, and series of cards used in the game; the amount of the prize; and the name, address, and social security number of each winner of any prize over $600. Cash prizes over $600 require the deduction of 5 percent withholding taxes as set forth in Iowa Code section </w:t>
      </w:r>
      <w:hyperlink r:id="rId15">
        <w:r>
          <w:rPr>
            <w:rStyle w:val="Hyperlink"/>
            <w:rFonts w:ascii="Times New Roman" w:hAnsi="Times New Roman"/>
            <w:b w:val="false"/>
            <w:i w:val="false"/>
            <w:color w:val="000000"/>
            <w:sz w:val="22"/>
          </w:rPr>
          <w:t>99B.8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val="false"/>
          <w:color w:val="000000"/>
          <w:sz w:val="22"/>
        </w:rPr>
        <w:t xml:space="preserve">Cash prizes awarded in games with more than one winner shall be shared equally.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permissible to round up or down, provided doing so does not exceed the maximum payout for that particular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Examples of prizes awarded in games with more than one winner: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winners with a total of three bingos: Player 1 has two bingos in separate squares, and Player 2 has one bingo in one square. Player 1 receives two-thirds of the prize, and Player 2 receives one-third of the prize.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Multiple winners equally splitting a prize with rounding to the nearest dollar: Six players all win the single $250 prize. The appropriate payout is $41.66 each, but rounding to the nearest dollar ($42) for each winner would result in a payout of $252, in violation of the maximum payout for a nonjackpot bingo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qualified organization shall have rules governing how a merchandise prize is awarded when there is more than one winner, posted in accordance with rule </w:t>
      </w:r>
      <w:hyperlink r:id="rId16">
        <w:r>
          <w:rPr>
            <w:rStyle w:val="Hyperlink"/>
            <w:rFonts w:ascii="Times New Roman" w:hAnsi="Times New Roman"/>
            <w:b w:val="false"/>
            <w:i w:val="false"/>
            <w:color w:val="000000"/>
            <w:sz w:val="22"/>
          </w:rPr>
          <w:t>481—103.5</w:t>
        </w:r>
      </w:hyperlink>
      <w:r>
        <w:rPr>
          <w:rFonts w:ascii="Times New Roman" w:hAnsi="Times New Roman"/>
          <w:b w:val="false"/>
          <w:i w:val="false"/>
          <w:color w:val="000000"/>
          <w:sz w:val="22"/>
        </w:rPr>
        <w:t>(99B). The organization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Split the cash equivalent of the merchandise prize equally among the winners so long as the retail value of the merchandise prize is $250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substitute merchandise prize with an aggregate retail value approximately equal to that of the designated prize so long as the aggregate retail value of all prizes is $950 or less;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a continuous or separate playoff bingo game consisting of only the winning players.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103.6(4)</w:t>
      </w:r>
      <w:r>
        <w:rPr>
          <w:rFonts w:ascii="Times New Roman" w:hAnsi="Times New Roman"/>
          <w:b w:val="false"/>
          <w:i w:val="false"/>
          <w:color w:val="000000"/>
          <w:sz w:val="22"/>
        </w:rPr>
        <w:t> </w:t>
      </w:r>
      <w:r>
        <w:rPr>
          <w:rFonts w:ascii="Times New Roman" w:hAnsi="Times New Roman"/>
          <w:b w:val="false"/>
          <w:i w:val="false"/>
          <w:color w:val="000000"/>
          <w:sz w:val="22"/>
        </w:rPr>
        <w:t>An animal shall not be awarded as a prize for persons participating in a game or fair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w:t>
      </w:r>
      <w:r>
        <w:rPr>
          <w:rFonts w:ascii="Times New Roman" w:hAnsi="Times New Roman"/>
          <w:b w:val="false"/>
          <w:i w:val="false"/>
          <w:color w:val="000000"/>
          <w:sz w:val="22"/>
        </w:rPr>
        <w:t> </w:t>
      </w:r>
      <w:r>
        <w:rPr>
          <w:rFonts w:ascii="Times New Roman" w:hAnsi="Times New Roman"/>
          <w:b w:val="false"/>
          <w:i w:val="false"/>
          <w:color w:val="000000"/>
          <w:sz w:val="22"/>
        </w:rPr>
        <w:t xml:space="preserve">A player shall not be required to return cash or a merchandise prize won in one game in order to play a subsequent game.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103.6(6)</w:t>
      </w:r>
      <w:r>
        <w:rPr>
          <w:rFonts w:ascii="Times New Roman" w:hAnsi="Times New Roman"/>
          <w:b w:val="false"/>
          <w:i w:val="false"/>
          <w:color w:val="000000"/>
          <w:sz w:val="22"/>
        </w:rPr>
        <w:t> </w:t>
      </w:r>
      <w:r>
        <w:rPr>
          <w:rFonts w:ascii="Times New Roman" w:hAnsi="Times New Roman"/>
          <w:b w:val="false"/>
          <w:i w:val="false"/>
          <w:color w:val="000000"/>
          <w:sz w:val="22"/>
        </w:rPr>
        <w:t xml:space="preserve">Jackpot games shall be conducted in accordance with Iowa Code section </w:t>
      </w:r>
      <w:hyperlink r:id="rId17">
        <w:r>
          <w:rPr>
            <w:rStyle w:val="Hyperlink"/>
            <w:rFonts w:ascii="Times New Roman" w:hAnsi="Times New Roman"/>
            <w:b w:val="false"/>
            <w:i w:val="false"/>
            <w:color w:val="000000"/>
            <w:sz w:val="22"/>
          </w:rPr>
          <w:t>99B.21(2)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jackpot prize will not decrease until it is won;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jackpot game is not won in accordance with the rules for the jackpot game, the game may transition to a consolation game with a prize of $250 or less.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717D.2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w:t>
      </w:r>
      <w:r>
        <w:rPr>
          <w:rFonts w:ascii="Times New Roman" w:hAnsi="Times New Roman"/>
          <w:b/>
          <w:i w:val="false"/>
          <w:color w:val="000000"/>
          <w:sz w:val="22"/>
        </w:rPr>
        <w:t xml:space="preserve">(99B) </w:t>
      </w:r>
      <w:r>
        <w:rPr>
          <w:rFonts w:ascii="Times New Roman" w:hAnsi="Times New Roman"/>
          <w:b/>
          <w:i w:val="false"/>
          <w:color w:val="000000"/>
          <w:sz w:val="22"/>
        </w:rPr>
        <w:t xml:space="preserve">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w:t>
      </w:r>
      <w:r>
        <w:rPr>
          <w:rFonts w:ascii="Times New Roman" w:hAnsi="Times New Roman"/>
          <w:b w:val="false"/>
          <w:i w:val="false"/>
          <w:color w:val="000000"/>
          <w:sz w:val="22"/>
        </w:rPr>
        <w:t> </w:t>
      </w:r>
      <w:r>
        <w:rPr>
          <w:rFonts w:ascii="Times New Roman" w:hAnsi="Times New Roman"/>
          <w:b w:val="false"/>
          <w:i w:val="false"/>
          <w:color w:val="000000"/>
          <w:sz w:val="22"/>
        </w:rPr>
        <w:t>Each organization must have a responsible party listed on the application who is an active member of the organization, familiar with the requirements of the Iowa law and aware of the bingo activities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103.7(2)</w:t>
      </w:r>
      <w:r>
        <w:rPr>
          <w:rFonts w:ascii="Times New Roman" w:hAnsi="Times New Roman"/>
          <w:b w:val="false"/>
          <w:i w:val="false"/>
          <w:color w:val="000000"/>
          <w:sz w:val="22"/>
        </w:rPr>
        <w:t> </w:t>
      </w:r>
      <w:r>
        <w:rPr>
          <w:rFonts w:ascii="Times New Roman" w:hAnsi="Times New Roman"/>
          <w:b w:val="false"/>
          <w:i w:val="false"/>
          <w:color w:val="000000"/>
          <w:sz w:val="22"/>
        </w:rPr>
        <w:t>Volunteers must be actively participating members of the licensed organization or participate in an organization to which money will be dedicated.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103.7(3)</w:t>
      </w:r>
      <w:r>
        <w:rPr>
          <w:rFonts w:ascii="Times New Roman" w:hAnsi="Times New Roman"/>
          <w:b w:val="false"/>
          <w:i w:val="false"/>
          <w:color w:val="000000"/>
          <w:sz w:val="22"/>
        </w:rPr>
        <w:t> </w:t>
      </w:r>
      <w:r>
        <w:rPr>
          <w:rFonts w:ascii="Times New Roman" w:hAnsi="Times New Roman"/>
          <w:b w:val="false"/>
          <w:i w:val="false"/>
          <w:color w:val="000000"/>
          <w:sz w:val="22"/>
        </w:rPr>
        <w:t>Paid workers shall not play during a bingo occasion in which they work. Persons conducting bingo shall not play during any bingo occasion conducted by the qualified organization for which they work. A person conducting bingo includes: persons overseeing the bingo games, persons controlling and accounting for the bingo occasion’s net receipts, persons directing the work of bingo workers, and any persons having management or oversight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w:t>
      </w:r>
      <w:r>
        <w:rPr>
          <w:rFonts w:ascii="Times New Roman" w:hAnsi="Times New Roman"/>
          <w:b w:val="false"/>
          <w:i w:val="false"/>
          <w:color w:val="000000"/>
          <w:sz w:val="22"/>
        </w:rPr>
        <w:t> </w:t>
      </w:r>
      <w:r>
        <w:rPr>
          <w:rFonts w:ascii="Times New Roman" w:hAnsi="Times New Roman"/>
          <w:b w:val="false"/>
          <w:i w:val="false"/>
          <w:color w:val="000000"/>
          <w:sz w:val="22"/>
        </w:rPr>
        <w:t>A person receiving rent for a bingo location, either directly or indirectly, shall not be involved in, participate in, or be associated with the operation of bingo games.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103.7(5)</w:t>
      </w:r>
      <w:r>
        <w:rPr>
          <w:rFonts w:ascii="Times New Roman" w:hAnsi="Times New Roman"/>
          <w:b w:val="false"/>
          <w:i w:val="false"/>
          <w:color w:val="000000"/>
          <w:sz w:val="22"/>
        </w:rPr>
        <w:t> </w:t>
      </w:r>
      <w:r>
        <w:rPr>
          <w:rFonts w:ascii="Times New Roman" w:hAnsi="Times New Roman"/>
          <w:b w:val="false"/>
          <w:i w:val="false"/>
          <w:color w:val="000000"/>
          <w:sz w:val="22"/>
        </w:rPr>
        <w:t>Anyone who sells bingo equipment or supplies to a bingo licensee shall not work for that licensee during a bingo occasion.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481—103.8</w:t>
      </w:r>
      <w:r>
        <w:rPr>
          <w:rFonts w:ascii="Times New Roman" w:hAnsi="Times New Roman"/>
          <w:b/>
          <w:i w:val="false"/>
          <w:color w:val="000000"/>
          <w:sz w:val="22"/>
        </w:rPr>
        <w:t xml:space="preserve">(99B) </w:t>
      </w:r>
      <w:r>
        <w:rPr>
          <w:rFonts w:ascii="Times New Roman" w:hAnsi="Times New Roman"/>
          <w:b/>
          <w:i w:val="false"/>
          <w:color w:val="000000"/>
          <w:sz w:val="22"/>
        </w:rPr>
        <w:t xml:space="preserve">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w:t>
      </w:r>
      <w:r>
        <w:rPr>
          <w:rFonts w:ascii="Times New Roman" w:hAnsi="Times New Roman"/>
          <w:b w:val="false"/>
          <w:i w:val="false"/>
          <w:color w:val="000000"/>
          <w:sz w:val="22"/>
        </w:rPr>
        <w:t> </w:t>
      </w:r>
      <w:r>
        <w:rPr>
          <w:rFonts w:ascii="Times New Roman" w:hAnsi="Times New Roman"/>
          <w:b w:val="false"/>
          <w:i w:val="false"/>
          <w:color w:val="000000"/>
          <w:sz w:val="22"/>
        </w:rPr>
        <w:t>The licensee shall be able to prove expenses were incurred exclusively and directly as a result of bingo and not exceed 40 percent of net receipts. Reasonable expenses within the 40 percent limit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Withholding, unemployment, or social security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and supply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Rent for bingo occasion;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Utilities for bingo occasion;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Wages paid for bingo workers.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w:t>
      </w:r>
      <w:r>
        <w:rPr>
          <w:rFonts w:ascii="Times New Roman" w:hAnsi="Times New Roman"/>
          <w:b w:val="false"/>
          <w:i w:val="false"/>
          <w:color w:val="000000"/>
          <w:sz w:val="22"/>
        </w:rPr>
        <w:t> </w:t>
      </w:r>
      <w:r>
        <w:rPr>
          <w:rFonts w:ascii="Times New Roman" w:hAnsi="Times New Roman"/>
          <w:b w:val="false"/>
          <w:i w:val="false"/>
          <w:color w:val="000000"/>
          <w:sz w:val="22"/>
        </w:rPr>
        <w:t>Expense items are allowed only when receipts or a paid invoice and canceled check are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103.8(3)</w:t>
      </w:r>
      <w:r>
        <w:rPr>
          <w:rFonts w:ascii="Times New Roman" w:hAnsi="Times New Roman"/>
          <w:b w:val="false"/>
          <w:i w:val="false"/>
          <w:color w:val="000000"/>
          <w:sz w:val="22"/>
        </w:rPr>
        <w:t> </w:t>
      </w:r>
      <w:r>
        <w:rPr>
          <w:rFonts w:ascii="Times New Roman" w:hAnsi="Times New Roman"/>
          <w:b w:val="false"/>
          <w:i w:val="false"/>
          <w:color w:val="000000"/>
          <w:sz w:val="22"/>
        </w:rPr>
        <w:t>When the annual gross exceeds $10,000, expenses shall be paid from a bingo checking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103.8(4)</w:t>
      </w:r>
      <w:r>
        <w:rPr>
          <w:rFonts w:ascii="Times New Roman" w:hAnsi="Times New Roman"/>
          <w:b w:val="false"/>
          <w:i w:val="false"/>
          <w:color w:val="000000"/>
          <w:sz w:val="22"/>
        </w:rPr>
        <w:t> </w:t>
      </w:r>
      <w:r>
        <w:rPr>
          <w:rFonts w:ascii="Times New Roman" w:hAnsi="Times New Roman"/>
          <w:b w:val="false"/>
          <w:i w:val="false"/>
          <w:color w:val="000000"/>
          <w:sz w:val="22"/>
        </w:rPr>
        <w:t>Expenses are not reasonable if the amount charged substantially exceeds the current rate or average retail cost of items or services purchased.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w:t>
      </w:r>
      <w:r>
        <w:rPr>
          <w:rFonts w:ascii="Times New Roman" w:hAnsi="Times New Roman"/>
          <w:b/>
          <w:i w:val="false"/>
          <w:color w:val="000000"/>
          <w:sz w:val="22"/>
        </w:rPr>
        <w:t xml:space="preserve">(99B) </w:t>
      </w:r>
      <w:r>
        <w:rPr>
          <w:rFonts w:ascii="Times New Roman" w:hAnsi="Times New Roman"/>
          <w:b/>
          <w:i w:val="false"/>
          <w:color w:val="000000"/>
          <w:sz w:val="22"/>
        </w:rPr>
        <w:t xml:space="preserve">Location. </w:t>
      </w:r>
      <w:r>
        <w:rPr>
          <w:rFonts w:ascii="Times New Roman" w:hAnsi="Times New Roman"/>
          <w:b w:val="false"/>
          <w:i w:val="false"/>
          <w:color w:val="000000"/>
          <w:sz w:val="22"/>
        </w:rPr>
        <w:t xml:space="preserve">Bingo occasions may be conducted on premises as provided in Iowa Code section </w:t>
      </w:r>
      <w:hyperlink r:id="rId21">
        <w:r>
          <w:rPr>
            <w:rStyle w:val="Hyperlink"/>
            <w:rFonts w:ascii="Times New Roman" w:hAnsi="Times New Roman"/>
            <w:b w:val="false"/>
            <w:i w:val="false"/>
            <w:color w:val="000000"/>
            <w:sz w:val="22"/>
          </w:rPr>
          <w:t>99B.13</w:t>
        </w:r>
      </w:hyperlink>
      <w:r>
        <w:rPr>
          <w:rFonts w:ascii="Times New Roman" w:hAnsi="Times New Roman"/>
          <w:b w:val="false"/>
          <w:i w:val="false"/>
          <w:color w:val="000000"/>
          <w:sz w:val="22"/>
        </w:rPr>
        <w:t xml:space="preserve"> and shall meet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buildings in which bingo occasions are conducted will meet state or local standards for occupancy and safety.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of the licensee will be posted on the sign of each building or location where bingo occasions are held. A name that is closely associated with the licensee and clearly identifies the lawful uses of the proceeds may also be used. Generic names, such as “Nelson Street Bingo” or “Uncle Bob’s Bingo,” will not be used.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Only one licensed qualified organization may conduct bingo occasions within the same structure or building.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i w:val="false"/>
          <w:color w:val="000000"/>
          <w:sz w:val="16"/>
        </w:rPr>
        <w:t>ARC 0088D</w:t>
      </w:r>
      <w:r>
        <w:rPr>
          <w:rFonts w:ascii="Times New Roman" w:hAnsi="Times New Roman"/>
          <w:b w:val="false"/>
          <w:i w:val="false"/>
          <w:color w:val="000000"/>
          <w:sz w:val="16"/>
        </w:rPr>
        <w:t>, IAB 3/4/26, effective 2/12/26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481—103.10</w:t>
      </w:r>
      <w:r>
        <w:rPr>
          <w:rFonts w:ascii="Times New Roman" w:hAnsi="Times New Roman"/>
          <w:b/>
          <w:i w:val="false"/>
          <w:color w:val="000000"/>
          <w:sz w:val="22"/>
        </w:rPr>
        <w:t xml:space="preserve">(10A,725) </w:t>
      </w:r>
      <w:r>
        <w:rPr>
          <w:rFonts w:ascii="Times New Roman" w:hAnsi="Times New Roman"/>
          <w:b/>
          <w:i w:val="false"/>
          <w:color w:val="000000"/>
          <w:sz w:val="22"/>
        </w:rPr>
        <w:t xml:space="preserve">Advertising. </w:t>
      </w:r>
      <w:r>
        <w:rPr>
          <w:rFonts w:ascii="Times New Roman" w:hAnsi="Times New Roman"/>
          <w:b w:val="false"/>
          <w:i w:val="false"/>
          <w:color w:val="000000"/>
          <w:sz w:val="22"/>
        </w:rPr>
        <w:t>An organization may advertise bingo or any gambling activities legal under Iowa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725.12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481—103.11</w:t>
      </w:r>
      <w:r>
        <w:rPr>
          <w:rFonts w:ascii="Times New Roman" w:hAnsi="Times New Roman"/>
          <w:b/>
          <w:i w:val="false"/>
          <w:color w:val="000000"/>
          <w:sz w:val="22"/>
        </w:rPr>
        <w:t xml:space="preserve">(10A,99B) </w:t>
      </w:r>
      <w:r>
        <w:rPr>
          <w:rFonts w:ascii="Times New Roman" w:hAnsi="Times New Roman"/>
          <w:b/>
          <w:i w:val="false"/>
          <w:color w:val="000000"/>
          <w:sz w:val="22"/>
        </w:rPr>
        <w:t xml:space="preserve">Equipment. </w:t>
      </w:r>
      <w:r>
        <w:rPr>
          <w:rFonts w:ascii="Times New Roman" w:hAnsi="Times New Roman"/>
          <w:b w:val="false"/>
          <w:i w:val="false"/>
          <w:color w:val="000000"/>
          <w:sz w:val="22"/>
        </w:rPr>
        <w:t>Equipment shall be used as it is intended by the manufacturer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103.11(1)</w:t>
      </w:r>
      <w:r>
        <w:rPr>
          <w:rFonts w:ascii="Times New Roman" w:hAnsi="Times New Roman"/>
          <w:b w:val="false"/>
          <w:i w:val="false"/>
          <w:color w:val="000000"/>
          <w:sz w:val="22"/>
        </w:rPr>
        <w:t> </w:t>
      </w:r>
      <w:r>
        <w:rPr>
          <w:rFonts w:ascii="Times New Roman" w:hAnsi="Times New Roman"/>
          <w:b w:val="false"/>
          <w:i w:val="false"/>
          <w:color w:val="000000"/>
          <w:sz w:val="22"/>
        </w:rPr>
        <w:t>Equipment will be owned by the licensed organization or borrowed from another qualified organization. Use of equipment for which the licensed organization pays consideration directly or indirectly under the guise of a service charge is not allowed. No licensed organization may loan or borrow equipment, goods, or services in exchange for supplies. Equipment should not be rented or leased, but the purchase of equipment on contract is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103.11(2)</w:t>
      </w:r>
      <w:r>
        <w:rPr>
          <w:rFonts w:ascii="Times New Roman" w:hAnsi="Times New Roman"/>
          <w:b w:val="false"/>
          <w:i w:val="false"/>
          <w:color w:val="000000"/>
          <w:sz w:val="22"/>
        </w:rPr>
        <w:t> </w:t>
      </w:r>
      <w:r>
        <w:rPr>
          <w:rFonts w:ascii="Times New Roman" w:hAnsi="Times New Roman"/>
          <w:b w:val="false"/>
          <w:i w:val="false"/>
          <w:color w:val="000000"/>
          <w:sz w:val="22"/>
        </w:rPr>
        <w:t>Equipment used to conduct bingo will be maintained in good repair and sound working condition. No equipment will be altered to create an advantage for anyone. Play will progress so all players have an equal opportunity to win. Balls will be the same size, shape, weight, and balance. Balls will tumble and circulate freely within the container during bingo games. All 75 balls will be in the container before each game begins.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481—103.12</w:t>
      </w:r>
      <w:r>
        <w:rPr>
          <w:rFonts w:ascii="Times New Roman" w:hAnsi="Times New Roman"/>
          <w:b/>
          <w:i w:val="false"/>
          <w:color w:val="000000"/>
          <w:sz w:val="22"/>
        </w:rPr>
        <w:t xml:space="preserve">(99B) </w:t>
      </w:r>
      <w:r>
        <w:rPr>
          <w:rFonts w:ascii="Times New Roman" w:hAnsi="Times New Roman"/>
          <w:b/>
          <w:i w:val="false"/>
          <w:color w:val="000000"/>
          <w:sz w:val="22"/>
        </w:rPr>
        <w:t xml:space="preserve">Records. </w:t>
      </w:r>
      <w:r>
        <w:rPr>
          <w:rFonts w:ascii="Times New Roman" w:hAnsi="Times New Roman"/>
          <w:b w:val="false"/>
          <w:i w:val="false"/>
          <w:color w:val="000000"/>
          <w:sz w:val="22"/>
        </w:rPr>
        <w:t>Accurate records shall be retained for a period of three years and provided to the department for review upon request. The following records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val="false"/>
          <w:color w:val="000000"/>
          <w:sz w:val="22"/>
        </w:rPr>
        <w:t>The daily bingo summary (Table A—end of chapter),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each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social security number of paid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Compensation of any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players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all games played, including a description of each game, the cost to play each game, the number and category of bingo cards used for each game, and the prize or prizes paid in each game. The summary will include the totals for the occasion of the gross receipts, prizes awarded, and jackpot prize amounts;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a caller and another member of the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val="false"/>
          <w:color w:val="000000"/>
          <w:sz w:val="22"/>
        </w:rPr>
        <w:t>An organization having $100,000 or more in bingo gross receipts per year must also comply with the following for each bingo occasion: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Daily Bingo Summary—CASH CONTROL (Table B—end of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Gross receipts, adjustments, prize payouts, and net receipts for each game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Total net receipts, total cash counted, overage or shortage, and total amount to be deposited for the occasion;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Signed and dated by two members of the organization.</w:t>
      </w:r>
    </w:p>
    <w:p>
      <w:pPr>
        <w:spacing w:before="0" w:after="0"/>
        <w:ind w:left="120"/>
        <w:jc w:val="both"/>
      </w:pPr>
      <w:r>
        <w:rPr>
          <w:rFonts w:ascii="Times New Roman" w:hAnsi="Times New Roman"/>
          <w:b w:val="false"/>
          <w:i w:val="false"/>
          <w:color w:val="000000"/>
          <w:sz w:val="22"/>
        </w:rPr>
        <w:t>This form should correspond with the Daily Bingo Inventory Usage Form (Table B—end of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Daily Bingo Inventory Usage (Table C—end of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loose sheet of bingo paper sold, the color, paper size, game(s) played, daily count start, purchases, voids, number of sheets sold, and daily count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packets are purchased preassembled, the color of the top sheet, paper size, daily count start, purchases, voids, number of packets sold, and daily count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packets are assembled by the organization, the color of the top sheet, paper size, daily count start, purchases, voids, number of packets sold, and daily count end. Each loose sheet of bingo paper used to assemble the packet will be accounted for by decreasing the applicable loose sheet bingo paper inventory under subparagraph </w:t>
      </w:r>
      <w:hyperlink r:id="rId23">
        <w:r>
          <w:rPr>
            <w:rStyle w:val="Hyperlink"/>
            <w:rFonts w:ascii="Times New Roman" w:hAnsi="Times New Roman"/>
            <w:b w:val="false"/>
            <w:i w:val="false"/>
            <w:color w:val="000000"/>
            <w:sz w:val="22"/>
          </w:rPr>
          <w:t>103.12(2)</w:t>
        </w:r>
      </w:hyperlink>
      <w:r>
        <w:rPr>
          <w:rFonts w:ascii="Times New Roman" w:hAnsi="Times New Roman"/>
          <w:b w:val="false"/>
          <w:i/>
          <w:color w:val="000000"/>
          <w:sz w:val="22"/>
        </w:rPr>
        <w:t>“b”</w:t>
      </w:r>
      <w:r>
        <w:rPr>
          <w:rFonts w:ascii="Times New Roman" w:hAnsi="Times New Roman"/>
          <w:b w:val="false"/>
          <w:i w:val="false"/>
          <w:color w:val="000000"/>
          <w:sz w:val="22"/>
        </w:rPr>
        <w:t>(1) at the time of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103.12(3)</w:t>
      </w:r>
      <w:r>
        <w:rPr>
          <w:rFonts w:ascii="Times New Roman" w:hAnsi="Times New Roman"/>
          <w:b w:val="false"/>
          <w:i w:val="false"/>
          <w:color w:val="000000"/>
          <w:sz w:val="22"/>
        </w:rPr>
        <w:t> </w:t>
      </w:r>
      <w:r>
        <w:rPr>
          <w:rFonts w:ascii="Times New Roman" w:hAnsi="Times New Roman"/>
          <w:b w:val="false"/>
          <w:i w:val="false"/>
          <w:color w:val="000000"/>
          <w:sz w:val="22"/>
        </w:rPr>
        <w:t>Records of expenses and dedicated and distributed money are required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will be retained for all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Purpose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checks, the purpose of payment will be recorded on the memo line of the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103.12(4)</w:t>
      </w:r>
      <w:r>
        <w:rPr>
          <w:rFonts w:ascii="Times New Roman" w:hAnsi="Times New Roman"/>
          <w:b w:val="false"/>
          <w:i w:val="false"/>
          <w:color w:val="000000"/>
          <w:sz w:val="22"/>
        </w:rPr>
        <w:t> </w:t>
      </w:r>
      <w:r>
        <w:rPr>
          <w:rFonts w:ascii="Times New Roman" w:hAnsi="Times New Roman"/>
          <w:b w:val="false"/>
          <w:i w:val="false"/>
          <w:color w:val="000000"/>
          <w:sz w:val="22"/>
        </w:rPr>
        <w:t>An employee record of people compensated for work at a bingo occasion shall be maintained that shows: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Times and number of hours worked;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Wages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Amounts withheld;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Check number.</w:t>
      </w:r>
    </w:p>
    <w:p>
      <w:pPr>
        <w:spacing w:before="0" w:after="0"/>
        <w:ind w:left="120"/>
        <w:jc w:val="both"/>
      </w:pPr>
      <w:r>
        <w:rPr>
          <w:rFonts w:ascii="Times New Roman" w:hAnsi="Times New Roman"/>
          <w:b w:val="false"/>
          <w:i w:val="false"/>
          <w:color w:val="000000"/>
          <w:sz w:val="22"/>
        </w:rPr>
        <w:t xml:space="preserve">The records must specifically identify for which bingo occasion an employee was compensated, whether or monetarily or otherwise.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103.12(5)</w:t>
      </w:r>
      <w:r>
        <w:rPr>
          <w:rFonts w:ascii="Times New Roman" w:hAnsi="Times New Roman"/>
          <w:b w:val="false"/>
          <w:i w:val="false"/>
          <w:color w:val="000000"/>
          <w:sz w:val="22"/>
        </w:rPr>
        <w:t> </w:t>
      </w:r>
      <w:r>
        <w:rPr>
          <w:rFonts w:ascii="Times New Roman" w:hAnsi="Times New Roman"/>
          <w:b w:val="false"/>
          <w:i w:val="false"/>
          <w:color w:val="000000"/>
          <w:sz w:val="22"/>
        </w:rPr>
        <w:t>An inventory list of the number of playing faces owned by the licensed organization is required to be updated each month.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481—103.13</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checking account. </w:t>
      </w:r>
      <w:r>
        <w:rPr>
          <w:rFonts w:ascii="Times New Roman" w:hAnsi="Times New Roman"/>
          <w:b w:val="false"/>
          <w:i w:val="false"/>
          <w:color w:val="000000"/>
          <w:sz w:val="22"/>
        </w:rPr>
        <w:t xml:space="preserve">A qualified organization shall maintain a separate bingo checking account established within one day of attaining $10,000 and as provided in Iowa Code section </w:t>
      </w:r>
      <w:hyperlink r:id="rId24">
        <w:r>
          <w:rPr>
            <w:rStyle w:val="Hyperlink"/>
            <w:rFonts w:ascii="Times New Roman" w:hAnsi="Times New Roman"/>
            <w:b w:val="false"/>
            <w:i w:val="false"/>
            <w:color w:val="000000"/>
            <w:sz w:val="22"/>
          </w:rPr>
          <w:t>99B.21(4)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103.13(1)</w:t>
      </w:r>
      <w:r>
        <w:rPr>
          <w:rFonts w:ascii="Times New Roman" w:hAnsi="Times New Roman"/>
          <w:b w:val="false"/>
          <w:i w:val="false"/>
          <w:color w:val="000000"/>
          <w:sz w:val="22"/>
        </w:rPr>
        <w:t> </w:t>
      </w:r>
      <w:r>
        <w:rPr>
          <w:rFonts w:ascii="Times New Roman" w:hAnsi="Times New Roman"/>
          <w:b w:val="false"/>
          <w:i w:val="false"/>
          <w:color w:val="000000"/>
          <w:sz w:val="22"/>
        </w:rPr>
        <w:t xml:space="preserve">Bingo receipts shall be deposited as provided in Iowa Code section </w:t>
      </w:r>
      <w:hyperlink r:id="rId25">
        <w:r>
          <w:rPr>
            <w:rStyle w:val="Hyperlink"/>
            <w:rFonts w:ascii="Times New Roman" w:hAnsi="Times New Roman"/>
            <w:b w:val="false"/>
            <w:i w:val="false"/>
            <w:color w:val="000000"/>
            <w:sz w:val="22"/>
          </w:rPr>
          <w:t>99B.21(4)</w:t>
        </w:r>
      </w:hyperlink>
      <w:r>
        <w:rPr>
          <w:rFonts w:ascii="Times New Roman" w:hAnsi="Times New Roman"/>
          <w:b w:val="false"/>
          <w:i w:val="false"/>
          <w:color w:val="000000"/>
          <w:sz w:val="22"/>
        </w:rPr>
        <w:t xml:space="preserve">. Interest earned on deposits in a bingo checking or savings account shall be treated the same as proceeds of bingo occasions. Limited funds as described in Iowa Code section </w:t>
      </w:r>
      <w:hyperlink r:id="rId26">
        <w:r>
          <w:rPr>
            <w:rStyle w:val="Hyperlink"/>
            <w:rFonts w:ascii="Times New Roman" w:hAnsi="Times New Roman"/>
            <w:b w:val="false"/>
            <w:i w:val="false"/>
            <w:color w:val="000000"/>
            <w:sz w:val="22"/>
          </w:rPr>
          <w:t>99B.21(4)</w:t>
        </w:r>
      </w:hyperlink>
      <w:r>
        <w:rPr>
          <w:rFonts w:ascii="Times New Roman" w:hAnsi="Times New Roman"/>
          <w:b w:val="false"/>
          <w:i/>
          <w:color w:val="000000"/>
          <w:sz w:val="22"/>
        </w:rPr>
        <w:t>“a”</w:t>
      </w:r>
      <w:r>
        <w:rPr>
          <w:rFonts w:ascii="Times New Roman" w:hAnsi="Times New Roman"/>
          <w:b w:val="false"/>
          <w:i w:val="false"/>
          <w:color w:val="000000"/>
          <w:sz w:val="22"/>
        </w:rPr>
        <w:t>(1) shall not exceed $7,500. Records shall be kept that identify this money.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shall be paid from the bingo account in accordance with the requirements of Iowa Code section </w:t>
      </w:r>
      <w:hyperlink r:id="rId27">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Wages shall not be paid by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103.13(3)</w:t>
      </w:r>
      <w:r>
        <w:rPr>
          <w:rFonts w:ascii="Times New Roman" w:hAnsi="Times New Roman"/>
          <w:b w:val="false"/>
          <w:i w:val="false"/>
          <w:color w:val="000000"/>
          <w:sz w:val="22"/>
        </w:rPr>
        <w:t> </w:t>
      </w:r>
      <w:r>
        <w:rPr>
          <w:rFonts w:ascii="Times New Roman" w:hAnsi="Times New Roman"/>
          <w:b w:val="false"/>
          <w:i w:val="false"/>
          <w:color w:val="000000"/>
          <w:sz w:val="22"/>
        </w:rPr>
        <w:t>The bingo account shall be used for both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qualified organization satisfies the dedication requirement by donating funds to another organization over which the licensed organization has no control;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qualified organization licensee is satisfying the dedication requirement by spending funds to further the charitable, educational, religious, public, patriotic, or civic purposes of its own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481—103.14</w:t>
      </w:r>
      <w:r>
        <w:rPr>
          <w:rFonts w:ascii="Times New Roman" w:hAnsi="Times New Roman"/>
          <w:b/>
          <w:i w:val="false"/>
          <w:color w:val="000000"/>
          <w:sz w:val="22"/>
        </w:rPr>
        <w:t xml:space="preserve">(10A,99B) </w:t>
      </w:r>
      <w:r>
        <w:rPr>
          <w:rFonts w:ascii="Times New Roman" w:hAnsi="Times New Roman"/>
          <w:b/>
          <w:i w:val="false"/>
          <w:color w:val="000000"/>
          <w:sz w:val="22"/>
        </w:rPr>
        <w:t xml:space="preserve">Bingo savings account and bingo change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103.14(1)</w:t>
      </w:r>
      <w:r>
        <w:rPr>
          <w:rFonts w:ascii="Times New Roman" w:hAnsi="Times New Roman"/>
          <w:b w:val="false"/>
          <w:i w:val="false"/>
          <w:color w:val="000000"/>
          <w:sz w:val="22"/>
        </w:rPr>
        <w:t> </w:t>
      </w:r>
      <w:r>
        <w:rPr>
          <w:rFonts w:ascii="Times New Roman" w:hAnsi="Times New Roman"/>
          <w:b w:val="false"/>
          <w:i/>
          <w:color w:val="000000"/>
          <w:sz w:val="22"/>
        </w:rPr>
        <w:t xml:space="preserve">Bingo savings account. </w:t>
      </w:r>
      <w:r>
        <w:rPr>
          <w:rFonts w:ascii="Times New Roman" w:hAnsi="Times New Roman"/>
          <w:b w:val="false"/>
          <w:i w:val="false"/>
          <w:color w:val="000000"/>
          <w:sz w:val="22"/>
        </w:rPr>
        <w:t>When an organization places bingo receipts in any savings account, bingo funds shall be separate and recognizable from all other funds of the same organization. All funds in a bingo savings account shall be transferred into that account from a bingo checking account and transferred back to the bingo checking account before they are spent.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103.14(2)</w:t>
      </w:r>
      <w:r>
        <w:rPr>
          <w:rFonts w:ascii="Times New Roman" w:hAnsi="Times New Roman"/>
          <w:b w:val="false"/>
          <w:i w:val="false"/>
          <w:color w:val="000000"/>
          <w:sz w:val="22"/>
        </w:rPr>
        <w:t> </w:t>
      </w:r>
      <w:r>
        <w:rPr>
          <w:rFonts w:ascii="Times New Roman" w:hAnsi="Times New Roman"/>
          <w:b w:val="false"/>
          <w:i/>
          <w:color w:val="000000"/>
          <w:sz w:val="22"/>
        </w:rPr>
        <w:t xml:space="preserve">Bingo change fund. </w:t>
      </w:r>
      <w:r>
        <w:rPr>
          <w:rFonts w:ascii="Times New Roman" w:hAnsi="Times New Roman"/>
          <w:b w:val="false"/>
          <w:i w:val="false"/>
          <w:color w:val="000000"/>
          <w:sz w:val="22"/>
        </w:rPr>
        <w:t xml:space="preserve">Moneys used as a change fund, if necessary, should be provided by the organization for each bingo occasion. The change fund can increase or decrease as appropriate for the anticipated participation in the bingo occasion. The balance of the change fund at the end of the fiscal year must be dedicated by July 30 and reported as set forth in rule </w:t>
      </w:r>
      <w:hyperlink r:id="rId28">
        <w:r>
          <w:rPr>
            <w:rStyle w:val="Hyperlink"/>
            <w:rFonts w:ascii="Times New Roman" w:hAnsi="Times New Roman"/>
            <w:b w:val="false"/>
            <w:i w:val="false"/>
            <w:color w:val="000000"/>
            <w:sz w:val="22"/>
          </w:rPr>
          <w:t>481—103.15</w:t>
        </w:r>
      </w:hyperlink>
      <w:r>
        <w:rPr>
          <w:rFonts w:ascii="Times New Roman" w:hAnsi="Times New Roman"/>
          <w:b w:val="false"/>
          <w:i w:val="false"/>
          <w:color w:val="000000"/>
          <w:sz w:val="22"/>
        </w:rPr>
        <w:t>(10A,99B). The fiscal year begins July 1 and ends June 30 of the following year. The change fund should be maintained in a secure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481—103.15</w:t>
      </w:r>
      <w:r>
        <w:rPr>
          <w:rFonts w:ascii="Times New Roman" w:hAnsi="Times New Roman"/>
          <w:b/>
          <w:i w:val="false"/>
          <w:color w:val="000000"/>
          <w:sz w:val="22"/>
        </w:rPr>
        <w:t xml:space="preserve">(99B) </w:t>
      </w:r>
      <w:r>
        <w:rPr>
          <w:rFonts w:ascii="Times New Roman" w:hAnsi="Times New Roman"/>
          <w:b/>
          <w:i w:val="false"/>
          <w:color w:val="000000"/>
          <w:sz w:val="22"/>
        </w:rPr>
        <w:t xml:space="preserve">Annual gambling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organization conducting bingo shall submit a report to the department as set forth in Iowa Code section </w:t>
      </w:r>
      <w:hyperlink r:id="rId29">
        <w:r>
          <w:rPr>
            <w:rStyle w:val="Hyperlink"/>
            <w:rFonts w:ascii="Times New Roman" w:hAnsi="Times New Roman"/>
            <w:b w:val="false"/>
            <w:i w:val="false"/>
            <w:color w:val="000000"/>
            <w:sz w:val="22"/>
          </w:rPr>
          <w:t>99B.16(3)</w:t>
        </w:r>
      </w:hyperlink>
      <w:r>
        <w:rPr>
          <w:rFonts w:ascii="Times New Roman" w:hAnsi="Times New Roman"/>
          <w:b w:val="false"/>
          <w:i w:val="false"/>
          <w:color w:val="000000"/>
          <w:sz w:val="22"/>
        </w:rPr>
        <w:t>. When the due date is on Saturday, Sunday, or a legal holiday, the report is due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103.15(2)</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gambling reports may be completed online at </w:t>
      </w:r>
      <w:hyperlink r:id="rId3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A paper version of the annual gambling report may be obtained from the Social and Charitable Gambling Unit, Iowa Department of Inspections, Appeals, and Licensing, 6200 Park Avenue, Des Moines, Iowa 50321; or by telephone at 515.281.6848.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qualified organization to submit records of specific occasions with the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103.15(4)</w:t>
      </w:r>
      <w:r>
        <w:rPr>
          <w:rFonts w:ascii="Times New Roman" w:hAnsi="Times New Roman"/>
          <w:b w:val="false"/>
          <w:i w:val="false"/>
          <w:color w:val="000000"/>
          <w:sz w:val="22"/>
        </w:rPr>
        <w:t> </w:t>
      </w:r>
      <w:r>
        <w:rPr>
          <w:rFonts w:ascii="Times New Roman" w:hAnsi="Times New Roman"/>
          <w:b w:val="false"/>
          <w:i w:val="false"/>
          <w:color w:val="000000"/>
          <w:sz w:val="22"/>
        </w:rPr>
        <w:t>All transactions of any school group or parent support group using a schoolwide license shall be on the annual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481—103.16</w:t>
      </w:r>
      <w:r>
        <w:rPr>
          <w:rFonts w:ascii="Times New Roman" w:hAnsi="Times New Roman"/>
          <w:b/>
          <w:i w:val="false"/>
          <w:color w:val="000000"/>
          <w:sz w:val="22"/>
        </w:rPr>
        <w:t xml:space="preserve">(10A,99B) </w:t>
      </w:r>
      <w:r>
        <w:rPr>
          <w:rFonts w:ascii="Times New Roman" w:hAnsi="Times New Roman"/>
          <w:b/>
          <w:i w:val="false"/>
          <w:color w:val="000000"/>
          <w:sz w:val="22"/>
        </w:rPr>
        <w:t xml:space="preserve">Inspections and audits. </w:t>
      </w:r>
      <w:r>
        <w:rPr>
          <w:rFonts w:ascii="Times New Roman" w:hAnsi="Times New Roman"/>
          <w:b w:val="false"/>
          <w:i w:val="false"/>
          <w:color w:val="000000"/>
          <w:sz w:val="22"/>
        </w:rPr>
        <w:t>Licensed organizations may be inspected or audited by a representative of the department at any reasonable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481—103.17</w:t>
      </w:r>
      <w:r>
        <w:rPr>
          <w:rFonts w:ascii="Times New Roman" w:hAnsi="Times New Roman"/>
          <w:b/>
          <w:i w:val="false"/>
          <w:color w:val="000000"/>
          <w:sz w:val="22"/>
        </w:rPr>
        <w:t xml:space="preserve">(99B) </w:t>
      </w:r>
      <w:r>
        <w:rPr>
          <w:rFonts w:ascii="Times New Roman" w:hAnsi="Times New Roman"/>
          <w:b/>
          <w:i w:val="false"/>
          <w:color w:val="000000"/>
          <w:sz w:val="22"/>
        </w:rPr>
        <w:t xml:space="preserve">Electronic bingo.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103.17(1)</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organization may lease electronic bingo equipment, as defined in Iowa Code section </w:t>
      </w:r>
      <w:hyperlink r:id="rId31">
        <w:r>
          <w:rPr>
            <w:rStyle w:val="Hyperlink"/>
            <w:rFonts w:ascii="Times New Roman" w:hAnsi="Times New Roman"/>
            <w:b w:val="false"/>
            <w:i w:val="false"/>
            <w:color w:val="000000"/>
            <w:sz w:val="22"/>
          </w:rPr>
          <w:t>99B.11(1)</w:t>
        </w:r>
      </w:hyperlink>
      <w:r>
        <w:rPr>
          <w:rFonts w:ascii="Times New Roman" w:hAnsi="Times New Roman"/>
          <w:b w:val="false"/>
          <w:i w:val="false"/>
          <w:color w:val="000000"/>
          <w:sz w:val="22"/>
        </w:rPr>
        <w:t xml:space="preserve">, from a manufacturer or distributor licensed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103.17(2)</w:t>
      </w:r>
      <w:r>
        <w:rPr>
          <w:rFonts w:ascii="Times New Roman" w:hAnsi="Times New Roman"/>
          <w:b w:val="false"/>
          <w:i w:val="false"/>
          <w:color w:val="000000"/>
          <w:sz w:val="22"/>
        </w:rPr>
        <w:t> </w:t>
      </w:r>
      <w:r>
        <w:rPr>
          <w:rFonts w:ascii="Times New Roman" w:hAnsi="Times New Roman"/>
          <w:b w:val="false"/>
          <w:i w:val="false"/>
          <w:color w:val="000000"/>
          <w:sz w:val="22"/>
        </w:rPr>
        <w:t>Electronic bingo equipment shall be used only by disabled individuals. For purposes of this rule, “disability” means, with respect to an individual, a physical or mental impairment that substantially limits one or more of the major life activities of the individual, a record of physical or mental impairment that substantially limits one or more of the major life activities of the individual, or being regarded as an individual with a physical or mental impairment that substantially limits one or more of the major life activities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103.17(3)</w:t>
      </w:r>
      <w:r>
        <w:rPr>
          <w:rFonts w:ascii="Times New Roman" w:hAnsi="Times New Roman"/>
          <w:b w:val="false"/>
          <w:i w:val="false"/>
          <w:color w:val="000000"/>
          <w:sz w:val="22"/>
        </w:rPr>
        <w:t> </w:t>
      </w:r>
      <w:r>
        <w:rPr>
          <w:rFonts w:ascii="Times New Roman" w:hAnsi="Times New Roman"/>
          <w:b w:val="false"/>
          <w:i w:val="false"/>
          <w:color w:val="000000"/>
          <w:sz w:val="22"/>
        </w:rPr>
        <w:t>Electronic bingo devices shall be used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player may input into the device each number called, or the device may automatically daub each number as the number is called.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player will notify the game operator or caller of the winning pattern of bingo by means other than use of the electronic bingo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player is limited to playing a maximum of 54 card faces per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 per bingo game will be the same as it would be if the individual were to purchase the same amount of paper or hard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Players of electronic bingo will not be required to play more cards than if using paper or hard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electronic bingo device will produce a player receipt with the organization name, date, time, location, sequential transaction or receipt number, number of electronic bingo cards loaded, cost of electronic bingo cards loaded, and date and time of the transaction. Images of cards or faces stored in an electronic bingo device will be exact duplicates of the printed faces if the faces are printed.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examine and inspect any electronic bingo device and related system. Such examination and inspection will include immediate access to the electronic bingo device and unlimited inspection of all parts and associated systems and may involve the removal of equipment from the game premises for further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electronic bingo devices will be loaded and enabled for play on the premises where the game will be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electronic bingo devices will be rented or otherwise provided to a player only by a qualified organization, and no part of the proceeds of the rental of such devices will be paid to a landlord, a landlord’s employee or agent, or a member of the landlord’s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a player’s call of a bingo is disputed by another player, or if a department representative makes a request, one or more cards stored on an electronic bingo device will be printed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Players may exchange a defective electronic bingo device for another electronic bingo device provided a disinterested player verifies that the device is not functioning.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99B.21(3)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481—103.18</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at a fair or community festival. </w:t>
      </w:r>
      <w:r>
        <w:rPr>
          <w:rFonts w:ascii="Times New Roman" w:hAnsi="Times New Roman"/>
          <w:b w:val="false"/>
          <w:i w:val="false"/>
          <w:color w:val="000000"/>
          <w:sz w:val="22"/>
        </w:rPr>
        <w:t xml:space="preserve">Bingo may lawfully be conducted at a fair or a community festival if the requirements of Iowa Code section </w:t>
      </w:r>
      <w:hyperlink r:id="rId33">
        <w:r>
          <w:rPr>
            <w:rStyle w:val="Hyperlink"/>
            <w:rFonts w:ascii="Times New Roman" w:hAnsi="Times New Roman"/>
            <w:b w:val="false"/>
            <w:i w:val="false"/>
            <w:color w:val="000000"/>
            <w:sz w:val="22"/>
          </w:rPr>
          <w:t>99B.22</w:t>
        </w:r>
      </w:hyperlink>
      <w:r>
        <w:rPr>
          <w:rFonts w:ascii="Times New Roman" w:hAnsi="Times New Roman"/>
          <w:b w:val="false"/>
          <w:i w:val="false"/>
          <w:color w:val="000000"/>
          <w:sz w:val="22"/>
        </w:rPr>
        <w:t xml:space="preserve"> are met. A qualified organization that has received permission from the sponsor of the fair or community festival to conduct bingo shall be licensed under Iowa Code section </w:t>
      </w:r>
      <w:hyperlink r:id="rId34">
        <w:r>
          <w:rPr>
            <w:rStyle w:val="Hyperlink"/>
            <w:rFonts w:ascii="Times New Roman" w:hAnsi="Times New Roman"/>
            <w:b w:val="false"/>
            <w:i w:val="false"/>
            <w:color w:val="000000"/>
            <w:sz w:val="22"/>
          </w:rPr>
          <w:t>99B.12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5">
        <w:r>
          <w:rPr>
            <w:rStyle w:val="Hyperlink"/>
            <w:rFonts w:ascii="Times New Roman" w:hAnsi="Times New Roman"/>
            <w:b w:val="false"/>
            <w:i w:val="false"/>
            <w:color w:val="000000"/>
            <w:sz w:val="22"/>
          </w:rPr>
          <w:t>99B.1 through 99B.7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99B.11 through 99B.16</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99B.21 through 99B.23</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99B.32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12/12/76, Notice 10/6/76—published 12/29/76, effective 2/2/77]</w:t>
      </w:r>
    </w:p>
    <w:p>
      <w:pPr>
        <w:spacing w:before="0" w:after="0"/>
        <w:ind w:left="120"/>
        <w:jc w:val="center"/>
      </w:pP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21"/>
        </w:rPr>
        <w:t>[Filed 11/21/80, Notice 10/15/80—published 12/10/80, effective 1/14/81]</w:t>
      </w:r>
    </w:p>
    <w:p>
      <w:pPr>
        <w:spacing w:before="0" w:after="0"/>
        <w:ind w:left="120"/>
        <w:jc w:val="center"/>
      </w:pPr>
      <w:r>
        <w:rPr>
          <w:rFonts w:ascii="Times New Roman" w:hAnsi="Times New Roman"/>
          <w:b w:val="false"/>
          <w:i w:val="false"/>
          <w:color w:val="000000"/>
          <w:sz w:val="21"/>
        </w:rPr>
        <w:t>[Filed 3/13/81, Notice 2/4/81—published 4/1/81, effective 5/6/81]</w:t>
      </w:r>
    </w:p>
    <w:p>
      <w:pPr>
        <w:spacing w:before="0" w:after="0"/>
        <w:ind w:left="120"/>
        <w:jc w:val="center"/>
      </w:pPr>
      <w:r>
        <w:rPr>
          <w:rFonts w:ascii="Times New Roman" w:hAnsi="Times New Roman"/>
          <w:b w:val="false"/>
          <w:i w:val="false"/>
          <w:color w:val="000000"/>
          <w:sz w:val="21"/>
        </w:rPr>
        <w:t>[Filed 8/28/81, Notice 7/22/81—published 9/16/81, effective 10/21/81]</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emergency 6/29/84—published 7/18/84, effective 7/1/84]</w:t>
      </w:r>
    </w:p>
    <w:p>
      <w:pPr>
        <w:spacing w:before="0" w:after="0"/>
        <w:ind w:left="120"/>
        <w:jc w:val="center"/>
      </w:pP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9/20/85, Notice 7/17/85—published 10/9/85, effective 11/13/85]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4/24/87, Notice 3/11/87—published 5/20/87, effective 6/24/87]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emergency 5/26/89—published 6/14/89, effective 7/1/89]</w:t>
      </w:r>
    </w:p>
    <w:p>
      <w:pPr>
        <w:spacing w:before="0" w:after="0"/>
        <w:ind w:left="120"/>
        <w:jc w:val="center"/>
      </w:pPr>
      <w:r>
        <w:rPr>
          <w:rFonts w:ascii="Times New Roman" w:hAnsi="Times New Roman"/>
          <w:b w:val="false"/>
          <w:i w:val="false"/>
          <w:color w:val="000000"/>
          <w:sz w:val="21"/>
        </w:rPr>
        <w:t>[Filed 8/15/90, Notice 4/18/90—published 9/5/90, effective 10/10/90]</w:t>
      </w:r>
    </w:p>
    <w:p>
      <w:pPr>
        <w:spacing w:before="0" w:after="0"/>
        <w:ind w:left="120"/>
        <w:jc w:val="center"/>
      </w:pPr>
      <w:r>
        <w:rPr>
          <w:rFonts w:ascii="Times New Roman" w:hAnsi="Times New Roman"/>
          <w:b w:val="false"/>
          <w:i w:val="false"/>
          <w:color w:val="000000"/>
          <w:sz w:val="21"/>
        </w:rPr>
        <w:t>[Filed 4/12/91, Notice 2/6/91—published 5/1/91, effective 6/5/91]</w:t>
      </w:r>
    </w:p>
    <w:p>
      <w:pPr>
        <w:spacing w:before="0" w:after="0"/>
        <w:ind w:left="120"/>
        <w:jc w:val="center"/>
      </w:pPr>
      <w:r>
        <w:rPr>
          <w:rFonts w:ascii="Times New Roman" w:hAnsi="Times New Roman"/>
          <w:b w:val="false"/>
          <w:i w:val="false"/>
          <w:color w:val="000000"/>
          <w:sz w:val="21"/>
        </w:rPr>
        <w:t>[Filed 4/25/91, Notice 3/20/91—published 5/15/91, effective 6/19/91]</w:t>
      </w:r>
    </w:p>
    <w:p>
      <w:pPr>
        <w:spacing w:before="0" w:after="0"/>
        <w:ind w:left="120"/>
        <w:jc w:val="center"/>
      </w:pPr>
      <w:r>
        <w:rPr>
          <w:rFonts w:ascii="Times New Roman" w:hAnsi="Times New Roman"/>
          <w:b w:val="false"/>
          <w:i w:val="false"/>
          <w:color w:val="000000"/>
          <w:sz w:val="21"/>
        </w:rPr>
        <w:t>[Filed emergency 7/5/02—published 7/24/02, effective 7/5/02]</w:t>
      </w:r>
    </w:p>
    <w:p>
      <w:pPr>
        <w:spacing w:before="0" w:after="0"/>
        <w:ind w:left="120"/>
        <w:jc w:val="center"/>
      </w:pPr>
      <w:r>
        <w:rPr>
          <w:rFonts w:ascii="Times New Roman" w:hAnsi="Times New Roman"/>
          <w:b w:val="false"/>
          <w:i w:val="false"/>
          <w:color w:val="000000"/>
          <w:sz w:val="21"/>
        </w:rPr>
        <w:t>[Filed 8/30/02, Notice 7/24/02—published 9/18/02, effective 10/23/02]</w:t>
      </w:r>
    </w:p>
    <w:p>
      <w:pPr>
        <w:spacing w:before="0" w:after="0"/>
        <w:ind w:left="120"/>
        <w:jc w:val="center"/>
      </w:pPr>
      <w:r>
        <w:rPr>
          <w:rFonts w:ascii="Times New Roman" w:hAnsi="Times New Roman"/>
          <w:b w:val="false"/>
          <w:i w:val="false"/>
          <w:color w:val="000000"/>
          <w:sz w:val="21"/>
        </w:rPr>
        <w:t>[Filed 11/19/03, Notice 10/15/03—published 12/10/03, effective 1/14/04]</w:t>
      </w:r>
    </w:p>
    <w:p>
      <w:pPr>
        <w:spacing w:before="0" w:after="0"/>
        <w:ind w:left="120"/>
        <w:jc w:val="center"/>
      </w:pPr>
      <w:r>
        <w:rPr>
          <w:rFonts w:ascii="Times New Roman" w:hAnsi="Times New Roman"/>
          <w:b w:val="false"/>
          <w:i w:val="false"/>
          <w:color w:val="000000"/>
          <w:sz w:val="21"/>
        </w:rPr>
        <w:t>[Filed 9/9/04, Notice 8/4/04—published 9/29/04, effective 11/3/04]</w:t>
      </w:r>
      <w:r>
        <w:rPr>
          <w:rFonts w:ascii="Times New Roman" w:hAnsi="Times New Roman"/>
          <w:b w:val="false"/>
          <w:i w:val="false"/>
          <w:color w:val="000000"/>
          <w:sz w:val="16"/>
        </w:rPr>
        <w:t xml:space="preserve">NOTE: </w:t>
      </w:r>
      <w:r>
        <w:rPr>
          <w:rFonts w:ascii="Times New Roman" w:hAnsi="Times New Roman"/>
          <w:b w:val="false"/>
          <w:i w:val="false"/>
          <w:color w:val="000000"/>
          <w:sz w:val="16"/>
        </w:rPr>
        <w:t>See forms on following pages.</w:t>
      </w:r>
    </w:p>
    <w:p>
      <w:pPr>
        <w:spacing w:before="0" w:after="0"/>
        <w:ind w:left="120"/>
        <w:jc w:val="center"/>
      </w:pPr>
      <w:r>
        <w:rPr>
          <w:rFonts w:ascii="Times New Roman" w:hAnsi="Times New Roman"/>
          <w:b w:val="false"/>
          <w:i w:val="false"/>
          <w:color w:val="000000"/>
          <w:sz w:val="21"/>
        </w:rPr>
        <w:t>[Filed ARC 1929C</w:t>
      </w:r>
      <w:r>
        <w:rPr>
          <w:rFonts w:ascii="Times New Roman" w:hAnsi="Times New Roman"/>
          <w:b w:val="false"/>
          <w:i w:val="false"/>
          <w:color w:val="000000"/>
          <w:sz w:val="21"/>
        </w:rPr>
        <w:t xml:space="preserve"> (Notice ARC 1858C,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4014C</w:t>
      </w:r>
      <w:r>
        <w:rPr>
          <w:rFonts w:ascii="Times New Roman" w:hAnsi="Times New Roman"/>
          <w:b w:val="false"/>
          <w:i w:val="false"/>
          <w:color w:val="000000"/>
          <w:sz w:val="21"/>
        </w:rPr>
        <w:t xml:space="preserve"> (Notice ARC 3920C,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6976C</w:t>
      </w:r>
      <w:r>
        <w:rPr>
          <w:rFonts w:ascii="Times New Roman" w:hAnsi="Times New Roman"/>
          <w:b w:val="false"/>
          <w:i w:val="false"/>
          <w:color w:val="000000"/>
          <w:sz w:val="21"/>
        </w:rPr>
        <w:t xml:space="preserve"> (Notice ARC 6879C, IAB 2/8/23)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9152C</w:t>
      </w:r>
      <w:r>
        <w:rPr>
          <w:rFonts w:ascii="Times New Roman" w:hAnsi="Times New Roman"/>
          <w:b w:val="false"/>
          <w:i w:val="false"/>
          <w:color w:val="000000"/>
          <w:sz w:val="21"/>
        </w:rPr>
        <w:t xml:space="preserve"> (Notice ARC 8849C, IAB 2/19/25)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6/25/25]</w:t>
      </w:r>
    </w:p>
    <w:p>
      <w:pPr>
        <w:spacing w:before="0" w:after="0"/>
        <w:ind w:left="120"/>
        <w:jc w:val="center"/>
      </w:pPr>
      <w:r>
        <w:rPr>
          <w:rFonts w:ascii="Times New Roman" w:hAnsi="Times New Roman"/>
          <w:b w:val="false"/>
          <w:i w:val="false"/>
          <w:color w:val="000000"/>
          <w:sz w:val="21"/>
        </w:rPr>
        <w:t>[Filed Emergency ARC 0088D, IAB 3/4/26, effective 2/12/26]</w:t>
      </w:r>
    </w:p>
    <w:p>
      <w:pPr>
        <w:pageBreakBefore/>
        <w:spacing w:before="0" w:after="0"/>
        <w:ind w:left="120"/>
        <w:jc w:val="both"/>
      </w:pPr>
    </w:p>
    <w:tbl>
      <w:tblPr>
        <w:tblW w:w="0" w:type="auto"/>
        <w:tblCellSpacing w:w="0" w:type="auto"/>
        <w:tblBorders>
          <w:top w:val="none"/>
          <w:left w:val="none"/>
          <w:bottom w:val="none"/>
          <w:right w:val="none"/>
          <w:insideH w:val="none"/>
          <w:insideV w:val="none"/>
        </w:tblBorders>
      </w:tblPr>
      <w:tblGrid>
        <w:gridCol w:w="2266"/>
        <w:gridCol w:w="6667"/>
      </w:tblGrid>
      <w:tr>
        <w:trPr>
          <w:trHeight w:val="435"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IOWA DEPARTMENT OF INSPECTIONS, </w:t>
            </w:r>
            <w:r>
              <w:br/>
            </w:r>
            <w:r>
              <w:rPr>
                <w:rFonts w:ascii="Times New Roman" w:hAnsi="Times New Roman"/>
                <w:b w:val="false"/>
                <w:i w:val="false"/>
                <w:color w:val="000000"/>
                <w:sz w:val="18"/>
              </w:rPr>
              <w:t>APPEALS, AND LICENSING</w:t>
            </w:r>
          </w:p>
        </w:tc>
      </w:tr>
      <w:tr>
        <w:trPr>
          <w:trHeight w:val="240"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DATE: </w:t>
            </w:r>
          </w:p>
        </w:tc>
        <w:tc>
          <w:tcPr>
            <w:tcW w:w="66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TABLE A</w:t>
            </w:r>
          </w:p>
        </w:tc>
      </w:tr>
      <w:tr>
        <w:trPr>
          <w:trHeight w:val="240"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DAILY BINGO SUMMARY</w:t>
            </w:r>
          </w:p>
        </w:tc>
      </w:tr>
      <w:tr>
        <w:trPr>
          <w:trHeight w:val="240"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Daily Cash Control Form users enter total only</w:t>
            </w:r>
          </w:p>
        </w:tc>
      </w:tr>
    </w:tbl>
    <w:tbl>
      <w:tblPr>
        <w:tblW w:w="0" w:type="auto"/>
        <w:tblCellSpacing w:w="0" w:type="auto"/>
        <w:tblInd w:w="101" w:type="dxa"/>
        <w:tblBorders>
          <w:top w:val="none"/>
          <w:left w:val="none"/>
          <w:bottom w:val="single" w:color="000000" w:sz="8"/>
          <w:right w:val="none"/>
          <w:insideH w:val="none"/>
          <w:insideV w:val="none"/>
        </w:tblBorders>
      </w:tblPr>
      <w:tblGrid>
        <w:gridCol w:w="2024"/>
        <w:gridCol w:w="299"/>
        <w:gridCol w:w="587"/>
        <w:gridCol w:w="587"/>
        <w:gridCol w:w="587"/>
        <w:gridCol w:w="1355"/>
        <w:gridCol w:w="779"/>
        <w:gridCol w:w="1930"/>
        <w:gridCol w:w="491"/>
        <w:gridCol w:w="587"/>
        <w:gridCol w:w="491"/>
        <w:gridCol w:w="683"/>
        <w:gridCol w:w="587"/>
      </w:tblGrid>
      <w:tr>
        <w:trPr>
          <w:trHeight w:val="165" w:hRule="atLeast"/>
        </w:trPr>
        <w:tc>
          <w:tcPr>
            <w:tcW w:w="0" w:type="auto"/>
            <w:gridSpan w:val="6"/>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TODAYS BINGO RECEIPTS</w:t>
            </w:r>
          </w:p>
        </w:tc>
        <w:tc>
          <w:tcPr>
            <w:tcW w:w="0" w:type="auto"/>
            <w:gridSpan w:val="7"/>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TODAYS BINGO CASH PRIZES</w:t>
            </w:r>
          </w:p>
        </w:tc>
      </w:tr>
      <w:tr>
        <w:trPr>
          <w:trHeight w:val="18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Game or Packet</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Sold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Cost/Unit</w:t>
            </w:r>
          </w:p>
        </w:tc>
        <w:tc>
          <w:tcPr>
            <w:tcW w:w="13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Receipts</w:t>
            </w:r>
          </w:p>
        </w:tc>
        <w:tc>
          <w:tcPr>
            <w:tcW w:w="77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Game</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Game Pattern</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Prize/Prizes Paid</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Adjustments (+ or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 Total Cash Prizes Paid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Gross Receipts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State Sales Tax</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Local Option Tax (if applicable)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 TOTAL IN ATTENDANCE: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Total Gross Receipts (after tax)</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Jackpot Game Played -</w:t>
            </w:r>
          </w:p>
        </w:tc>
        <w:tc>
          <w:tcPr>
            <w:tcW w:w="2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in</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numbers.</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 Jackpot Prize Paid Today</w:t>
            </w:r>
            <w:r>
              <w:rPr>
                <w:rFonts w:ascii="Times New Roman" w:hAnsi="Times New Roman"/>
                <w:b w:val="false"/>
                <w:i w:val="false"/>
                <w:color w:val="000000"/>
                <w:sz w:val="14"/>
              </w:rPr>
              <w:t>$</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4"/>
              </w:rPr>
              <w:t>.</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0" w:type="auto"/>
            <w:gridSpan w:val="1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COMPENSATED WORKERS</w:t>
            </w:r>
          </w:p>
        </w:tc>
      </w:tr>
      <w:tr>
        <w:trPr>
          <w:trHeight w:val="195"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Name</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S.S.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Rate of Pay</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Hours</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 Paid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Check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Total Compensation</w:t>
            </w:r>
          </w:p>
        </w:tc>
        <w:tc>
          <w:tcPr>
            <w:tcW w:w="2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4"/>
              </w:rPr>
              <w:t>$</w:t>
            </w: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tbl>
      <w:tblPr>
        <w:tblW w:w="0" w:type="auto"/>
        <w:tblCellSpacing w:w="0" w:type="auto"/>
        <w:tblInd w:w="528" w:type="dxa"/>
        <w:tblBorders>
          <w:top w:val="none"/>
          <w:left w:val="none"/>
          <w:bottom w:val="none"/>
          <w:right w:val="none"/>
          <w:insideH w:val="none"/>
          <w:insideV w:val="none"/>
        </w:tblBorders>
      </w:tblPr>
      <w:tblGrid>
        <w:gridCol w:w="3369"/>
        <w:gridCol w:w="2027"/>
        <w:gridCol w:w="395"/>
        <w:gridCol w:w="971"/>
        <w:gridCol w:w="3371"/>
      </w:tblGrid>
      <w:tr>
        <w:trPr>
          <w:trHeight w:val="195"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DAILY RECAP</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xml:space="preserve"> * Gross Receipts </w:t>
            </w:r>
          </w:p>
        </w:tc>
        <w:tc>
          <w:tcPr>
            <w:tcW w:w="3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Less Cash Prizes</w:t>
            </w:r>
          </w:p>
        </w:tc>
        <w:tc>
          <w:tcPr>
            <w:tcW w:w="3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xml:space="preserve"> Total Deposit</w:t>
            </w:r>
          </w:p>
        </w:tc>
        <w:tc>
          <w:tcPr>
            <w:tcW w:w="3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tbl>
      <w:tblPr>
        <w:tblW w:w="0" w:type="auto"/>
        <w:tblCellSpacing w:w="0" w:type="auto"/>
        <w:tblInd w:w="261" w:type="dxa"/>
        <w:tblBorders>
          <w:top w:val="none"/>
          <w:left w:val="none"/>
          <w:bottom w:val="none"/>
          <w:right w:val="none"/>
          <w:insideH w:val="none"/>
          <w:insideV w:val="none"/>
        </w:tblBorders>
      </w:tblPr>
      <w:tblGrid>
        <w:gridCol w:w="1369"/>
        <w:gridCol w:w="5976"/>
        <w:gridCol w:w="3322"/>
      </w:tblGrid>
      <w:tr>
        <w:trPr>
          <w:trHeight w:val="195" w:hRule="atLeast"/>
        </w:trPr>
        <w:tc>
          <w:tcPr>
            <w:tcW w:w="1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SIGNATURES: </w:t>
            </w:r>
          </w:p>
        </w:tc>
        <w:tc>
          <w:tcPr>
            <w:tcW w:w="5976" w:type="dxa"/>
            <w:tcBorders/>
            <w:tcMar>
              <w:top w:w="30" w:type="dxa"/>
              <w:left w:w="30" w:type="dxa"/>
              <w:bottom w:w="15" w:type="dxa"/>
              <w:right w:w="30" w:type="dxa"/>
            </w:tcMar>
            <w:vAlign w:val="top"/>
          </w:tcPr>
          <w:p>
            <w:pPr>
              <w:spacing w:before="0" w:after="0"/>
              <w:ind w:left="0"/>
              <w:jc w:val="left"/>
            </w:pPr>
          </w:p>
        </w:tc>
        <w:tc>
          <w:tcPr>
            <w:tcW w:w="33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Date </w:t>
            </w:r>
          </w:p>
        </w:tc>
      </w:tr>
      <w:tr>
        <w:trPr>
          <w:trHeight w:val="195" w:hRule="atLeast"/>
        </w:trPr>
        <w:tc>
          <w:tcPr>
            <w:tcW w:w="1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976" w:type="dxa"/>
            <w:tcBorders/>
            <w:tcMar>
              <w:top w:w="30" w:type="dxa"/>
              <w:left w:w="30" w:type="dxa"/>
              <w:bottom w:w="15" w:type="dxa"/>
              <w:right w:w="30" w:type="dxa"/>
            </w:tcMar>
            <w:vAlign w:val="top"/>
          </w:tcPr>
          <w:p>
            <w:pPr>
              <w:spacing w:before="0" w:after="0"/>
              <w:ind w:left="0"/>
              <w:jc w:val="left"/>
            </w:pPr>
          </w:p>
        </w:tc>
        <w:tc>
          <w:tcPr>
            <w:tcW w:w="33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Date </w:t>
            </w:r>
          </w:p>
        </w:tc>
      </w:tr>
    </w:tbl>
    <w:p>
      <w:pPr>
        <w:pageBreakBefore/>
        <w:spacing w:before="0" w:after="0"/>
        <w:ind w:left="120"/>
        <w:jc w:val="both"/>
      </w:pPr>
    </w:p>
    <w:p>
      <w:pPr>
        <w:spacing w:before="60" w:after="0"/>
        <w:ind w:left="120"/>
        <w:jc w:val="center"/>
      </w:pPr>
      <w:r>
        <w:rPr>
          <w:rFonts w:ascii="Times New Roman" w:hAnsi="Times New Roman"/>
          <w:b/>
          <w:i w:val="false"/>
          <w:color w:val="000000"/>
          <w:sz w:val="14"/>
        </w:rPr>
        <w:t xml:space="preserve">Iowa Department of Inspections, Appeals, and Licensing </w:t>
      </w:r>
    </w:p>
    <w:p>
      <w:pPr>
        <w:spacing w:before="60" w:after="0"/>
        <w:ind w:left="120"/>
        <w:jc w:val="center"/>
      </w:pPr>
      <w:r>
        <w:rPr>
          <w:rFonts w:ascii="Times New Roman" w:hAnsi="Times New Roman"/>
          <w:b/>
          <w:i w:val="false"/>
          <w:color w:val="000000"/>
          <w:sz w:val="14"/>
        </w:rPr>
        <w:t>Social and Charitable Gambling Unit</w:t>
      </w:r>
    </w:p>
    <w:p>
      <w:pPr>
        <w:spacing w:before="60" w:after="0"/>
        <w:ind w:left="120"/>
        <w:jc w:val="center"/>
      </w:pPr>
      <w:r>
        <w:rPr>
          <w:rFonts w:ascii="Times New Roman" w:hAnsi="Times New Roman"/>
          <w:b w:val="false"/>
          <w:i w:val="false"/>
          <w:color w:val="000000"/>
          <w:sz w:val="14"/>
        </w:rPr>
        <w:t>TABLE B</w:t>
      </w:r>
    </w:p>
    <w:p>
      <w:pPr>
        <w:spacing w:before="60" w:after="0"/>
        <w:ind w:left="120"/>
        <w:jc w:val="center"/>
      </w:pPr>
      <w:r>
        <w:rPr>
          <w:rFonts w:ascii="Times New Roman" w:hAnsi="Times New Roman"/>
          <w:b w:val="false"/>
          <w:i w:val="false"/>
          <w:color w:val="000000"/>
          <w:sz w:val="14"/>
          <w:u w:val="single"/>
        </w:rPr>
        <w:t>Daily Bingo Summary—CASH CONTROL</w:t>
      </w:r>
    </w:p>
    <w:tbl>
      <w:tblPr>
        <w:tblW w:w="0" w:type="auto"/>
        <w:tblCellSpacing w:w="0" w:type="auto"/>
        <w:tblInd w:w="1077" w:type="dxa"/>
        <w:tblBorders>
          <w:top w:val="single" w:color="000000" w:sz="8"/>
          <w:left w:val="single" w:color="000000" w:sz="8"/>
          <w:bottom w:val="single" w:color="000000" w:sz="8"/>
          <w:right w:val="single" w:color="000000" w:sz="8"/>
          <w:insideH w:val="none"/>
          <w:insideV w:val="none"/>
        </w:tblBorders>
      </w:tblPr>
      <w:tblGrid>
        <w:gridCol w:w="3200"/>
        <w:gridCol w:w="5835"/>
      </w:tblGrid>
      <w:tr>
        <w:trPr>
          <w:trHeight w:val="195" w:hRule="atLeast"/>
        </w:trPr>
        <w:tc>
          <w:tcPr>
            <w:tcW w:w="3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Date: </w:t>
            </w:r>
          </w:p>
        </w:tc>
        <w:tc>
          <w:tcPr>
            <w:tcW w:w="58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Licensee’s Name: </w:t>
            </w:r>
          </w:p>
        </w:tc>
      </w:tr>
      <w:tr>
        <w:trPr>
          <w:trHeight w:val="195" w:hRule="atLeast"/>
        </w:trPr>
        <w:tc>
          <w:tcPr>
            <w:tcW w:w="3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City: </w:t>
            </w:r>
          </w:p>
        </w:tc>
        <w:tc>
          <w:tcPr>
            <w:tcW w:w="58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State: </w:t>
            </w:r>
          </w:p>
        </w:tc>
      </w:tr>
    </w:tbl>
    <w:tbl>
      <w:tblPr>
        <w:tblW w:w="0" w:type="auto"/>
        <w:tblCellSpacing w:w="0" w:type="auto"/>
        <w:tblInd w:w="315" w:type="dxa"/>
        <w:tblBorders>
          <w:top w:val="none"/>
          <w:left w:val="none"/>
          <w:bottom w:val="none"/>
          <w:right w:val="none"/>
          <w:insideH w:val="none"/>
          <w:insideV w:val="none"/>
        </w:tblBorders>
      </w:tblPr>
      <w:tblGrid>
        <w:gridCol w:w="873"/>
        <w:gridCol w:w="2007"/>
        <w:gridCol w:w="393"/>
        <w:gridCol w:w="1823"/>
        <w:gridCol w:w="1255"/>
        <w:gridCol w:w="1919"/>
        <w:gridCol w:w="1063"/>
        <w:gridCol w:w="1064"/>
        <w:gridCol w:w="163"/>
      </w:tblGrid>
      <w:tr>
        <w:trPr>
          <w:trHeight w:val="36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(1)</w:t>
            </w:r>
          </w:p>
          <w:p>
            <w:pPr>
              <w:spacing w:before="0" w:after="0"/>
              <w:ind w:left="160"/>
              <w:jc w:val="center"/>
            </w:pPr>
            <w:r>
              <w:rPr>
                <w:rFonts w:ascii="Times New Roman" w:hAnsi="Times New Roman"/>
                <w:b w:val="false"/>
                <w:i w:val="false"/>
                <w:color w:val="000000"/>
                <w:sz w:val="14"/>
              </w:rPr>
              <w:t>Gross Receipts</w:t>
            </w:r>
          </w:p>
        </w:tc>
        <w:tc>
          <w:tcPr>
            <w:tcW w:w="125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Voids</w:t>
            </w:r>
          </w:p>
          <w:p>
            <w:pPr>
              <w:spacing w:before="0" w:after="0"/>
              <w:ind w:left="160"/>
              <w:jc w:val="center"/>
            </w:pPr>
            <w:r>
              <w:rPr>
                <w:rFonts w:ascii="Times New Roman" w:hAnsi="Times New Roman"/>
                <w:b w:val="false"/>
                <w:i w:val="false"/>
                <w:color w:val="000000"/>
                <w:sz w:val="14"/>
              </w:rPr>
              <w:t>Overrings</w:t>
            </w:r>
          </w:p>
        </w:tc>
        <w:tc>
          <w:tcPr>
            <w:tcW w:w="1919"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Adjusted</w:t>
            </w:r>
          </w:p>
          <w:p>
            <w:pPr>
              <w:spacing w:before="0" w:after="0"/>
              <w:ind w:left="160"/>
              <w:jc w:val="center"/>
            </w:pPr>
            <w:r>
              <w:rPr>
                <w:rFonts w:ascii="Times New Roman" w:hAnsi="Times New Roman"/>
                <w:b w:val="false"/>
                <w:i w:val="false"/>
                <w:color w:val="000000"/>
                <w:sz w:val="14"/>
              </w:rPr>
              <w:t>Gross Receipts</w:t>
            </w:r>
          </w:p>
        </w:tc>
        <w:tc>
          <w:tcPr>
            <w:tcW w:w="106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Prize</w:t>
            </w:r>
          </w:p>
          <w:p>
            <w:pPr>
              <w:spacing w:before="0" w:after="0"/>
              <w:ind w:left="160"/>
              <w:jc w:val="center"/>
            </w:pPr>
            <w:r>
              <w:rPr>
                <w:rFonts w:ascii="Times New Roman" w:hAnsi="Times New Roman"/>
                <w:b w:val="false"/>
                <w:i w:val="false"/>
                <w:color w:val="000000"/>
                <w:sz w:val="14"/>
              </w:rPr>
              <w:t>Payouts</w:t>
            </w:r>
          </w:p>
        </w:tc>
        <w:tc>
          <w:tcPr>
            <w:tcW w:w="106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Net</w:t>
            </w:r>
          </w:p>
          <w:p>
            <w:pPr>
              <w:spacing w:before="0" w:after="0"/>
              <w:ind w:left="160"/>
              <w:jc w:val="center"/>
            </w:pPr>
            <w:r>
              <w:rPr>
                <w:rFonts w:ascii="Times New Roman" w:hAnsi="Times New Roman"/>
                <w:b w:val="false"/>
                <w:i w:val="false"/>
                <w:color w:val="000000"/>
                <w:sz w:val="14"/>
              </w:rPr>
              <w:t>Receipts</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EARLY BIRDS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REGULAR HARD CARDS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PACKETS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JACKPOT</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SPEEDBALL</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OTHER</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LATE BIRDS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Plus Payouts by Check</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Equals Net Cash</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Equals Cash Counted</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or - Cash over/short</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JACKPOT PRIZE $______ IN ______ NUMBERS</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Equals Cash Deposit</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14"/>
          <w:u w:val="single"/>
        </w:rPr>
        <w:t>Instructions</w:t>
      </w:r>
    </w:p>
    <w:p>
      <w:pPr>
        <w:spacing w:before="0" w:after="0"/>
        <w:ind w:left="120"/>
        <w:jc w:val="both"/>
      </w:pPr>
      <w:r>
        <w:rPr>
          <w:rFonts w:ascii="Times New Roman" w:hAnsi="Times New Roman"/>
          <w:b w:val="false"/>
          <w:i w:val="false"/>
          <w:color w:val="000000"/>
          <w:sz w:val="14"/>
        </w:rPr>
        <w:t>(1) Gross Receipts per Inventory Usage Form (not cash)</w:t>
      </w:r>
    </w:p>
    <w:p>
      <w:pPr>
        <w:spacing w:before="0" w:after="0"/>
        <w:ind w:left="120"/>
        <w:jc w:val="both"/>
      </w:pPr>
      <w:r>
        <w:rPr>
          <w:rFonts w:ascii="Times New Roman" w:hAnsi="Times New Roman"/>
          <w:b w:val="false"/>
          <w:i w:val="false"/>
          <w:color w:val="000000"/>
          <w:sz w:val="14"/>
        </w:rPr>
        <w:t>(2) Attach copy of Deposit Receipt</w:t>
      </w:r>
    </w:p>
    <w:p>
      <w:pPr>
        <w:spacing w:before="0" w:after="0"/>
        <w:ind w:left="120"/>
        <w:jc w:val="both"/>
      </w:pPr>
      <w:r>
        <w:rPr>
          <w:rFonts w:ascii="Times New Roman" w:hAnsi="Times New Roman"/>
          <w:b w:val="false"/>
          <w:i w:val="false"/>
          <w:color w:val="000000"/>
          <w:sz w:val="22"/>
        </w:rPr>
        <w:t> </w:t>
      </w:r>
    </w:p>
    <w:tbl>
      <w:tblPr>
        <w:tblW w:w="0" w:type="auto"/>
        <w:tblCellSpacing w:w="0" w:type="auto"/>
        <w:tblInd w:w="5057" w:type="dxa"/>
        <w:tblBorders>
          <w:top w:val="none"/>
          <w:left w:val="none"/>
          <w:bottom w:val="none"/>
          <w:right w:val="none"/>
          <w:insideH w:val="none"/>
          <w:insideV w:val="none"/>
        </w:tblBorders>
      </w:tblPr>
      <w:tblGrid>
        <w:gridCol w:w="3066"/>
        <w:gridCol w:w="3067"/>
      </w:tblGrid>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Prepared by: </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Bingo Manager: </w:t>
            </w:r>
          </w:p>
        </w:tc>
      </w:tr>
    </w:tbl>
    <w:p>
      <w:pPr>
        <w:pageBreakBefore/>
        <w:spacing w:before="0" w:after="0"/>
        <w:ind w:left="120"/>
        <w:jc w:val="both"/>
      </w:pPr>
    </w:p>
    <w:p>
      <w:pPr>
        <w:spacing w:before="60" w:after="0"/>
        <w:ind w:left="120"/>
        <w:jc w:val="center"/>
      </w:pPr>
      <w:r>
        <w:rPr>
          <w:rFonts w:ascii="Times New Roman" w:hAnsi="Times New Roman"/>
          <w:b/>
          <w:i w:val="false"/>
          <w:color w:val="000000"/>
          <w:sz w:val="14"/>
        </w:rPr>
        <w:t>Iowa Department of Inspections, Appeals, and Licensing</w:t>
      </w:r>
    </w:p>
    <w:p>
      <w:pPr>
        <w:spacing w:before="60" w:after="0"/>
        <w:ind w:left="120"/>
        <w:jc w:val="center"/>
      </w:pPr>
      <w:r>
        <w:rPr>
          <w:rFonts w:ascii="Times New Roman" w:hAnsi="Times New Roman"/>
          <w:b/>
          <w:i w:val="false"/>
          <w:color w:val="000000"/>
          <w:sz w:val="14"/>
        </w:rPr>
        <w:t>Social and Charitable Gambling Unit</w:t>
      </w:r>
    </w:p>
    <w:p>
      <w:pPr>
        <w:spacing w:before="60" w:after="0"/>
        <w:ind w:left="120"/>
        <w:jc w:val="center"/>
      </w:pPr>
      <w:r>
        <w:rPr>
          <w:rFonts w:ascii="Times New Roman" w:hAnsi="Times New Roman"/>
          <w:b w:val="false"/>
          <w:i w:val="false"/>
          <w:color w:val="000000"/>
          <w:sz w:val="14"/>
        </w:rPr>
        <w:t>Daily Bingo Summary—INVENTORY USAGE</w:t>
      </w:r>
    </w:p>
    <w:p>
      <w:pPr>
        <w:spacing w:before="60" w:after="0"/>
        <w:ind w:left="120"/>
        <w:jc w:val="center"/>
      </w:pPr>
      <w:r>
        <w:rPr>
          <w:rFonts w:ascii="Times New Roman" w:hAnsi="Times New Roman"/>
          <w:b w:val="false"/>
          <w:i w:val="false"/>
          <w:color w:val="000000"/>
          <w:sz w:val="14"/>
        </w:rPr>
        <w:t>TABLE C</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1520"/>
      </w:tblGrid>
      <w:tr>
        <w:trPr>
          <w:trHeight w:val="255" w:hRule="atLeast"/>
        </w:trPr>
        <w:tc>
          <w:tcPr>
            <w:tcW w:w="11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Licensee’s Name:</w:t>
            </w:r>
          </w:p>
        </w:tc>
      </w:tr>
      <w:tr>
        <w:trPr>
          <w:trHeight w:val="255" w:hRule="atLeast"/>
        </w:trPr>
        <w:tc>
          <w:tcPr>
            <w:tcW w:w="11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Qualified Organization License #:</w:t>
            </w:r>
          </w:p>
        </w:tc>
      </w:tr>
      <w:tr>
        <w:trPr>
          <w:trHeight w:val="255" w:hRule="atLeast"/>
        </w:trPr>
        <w:tc>
          <w:tcPr>
            <w:tcW w:w="11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Address:</w:t>
            </w:r>
          </w:p>
        </w:tc>
      </w:tr>
      <w:tr>
        <w:trPr>
          <w:trHeight w:val="255" w:hRule="atLeast"/>
        </w:trPr>
        <w:tc>
          <w:tcPr>
            <w:tcW w:w="11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City, State, ZIP:</w:t>
            </w:r>
          </w:p>
        </w:tc>
      </w:tr>
    </w:tbl>
    <w:tbl>
      <w:tblPr>
        <w:tblW w:w="0" w:type="auto"/>
        <w:tblCellSpacing w:w="0" w:type="auto"/>
        <w:tblBorders>
          <w:top w:val="none"/>
          <w:left w:val="none"/>
          <w:bottom w:val="none"/>
          <w:right w:val="none"/>
          <w:insideH w:val="none"/>
          <w:insideV w:val="none"/>
        </w:tblBorders>
      </w:tblPr>
      <w:tblGrid>
        <w:gridCol w:w="4174"/>
      </w:tblGrid>
      <w:tr>
        <w:trPr>
          <w:trHeight w:val="480" w:hRule="atLeast"/>
        </w:trPr>
        <w:tc>
          <w:tcPr>
            <w:tcW w:w="41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Today’s Date: ______________________</w:t>
            </w:r>
          </w:p>
          <w:p>
            <w:pPr>
              <w:spacing w:before="0" w:after="0"/>
              <w:ind w:left="160"/>
              <w:jc w:val="left"/>
            </w:pPr>
            <w:r>
              <w:rPr>
                <w:rFonts w:ascii="Times New Roman" w:hAnsi="Times New Roman"/>
                <w:b w:val="false"/>
                <w:i w:val="false"/>
                <w:color w:val="000000"/>
                <w:sz w:val="18"/>
              </w:rPr>
              <w:t> </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713"/>
        <w:gridCol w:w="800"/>
        <w:gridCol w:w="1068"/>
        <w:gridCol w:w="1178"/>
        <w:gridCol w:w="1166"/>
        <w:gridCol w:w="1571"/>
        <w:gridCol w:w="612"/>
        <w:gridCol w:w="1077"/>
        <w:gridCol w:w="767"/>
      </w:tblGrid>
      <w:tr>
        <w:trPr>
          <w:trHeight w:val="25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Loose Sheet Bingo Paper Inventory</w:t>
            </w:r>
          </w:p>
        </w:tc>
      </w:tr>
      <w:tr>
        <w:trPr>
          <w:trHeight w:val="675" w:hRule="atLeast"/>
        </w:trPr>
        <w:tc>
          <w:tcPr>
            <w:tcW w:w="71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Color</w:t>
            </w:r>
          </w:p>
        </w:tc>
        <w:tc>
          <w:tcPr>
            <w:tcW w:w="80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Paper Size</w:t>
            </w:r>
          </w:p>
        </w:tc>
        <w:tc>
          <w:tcPr>
            <w:tcW w:w="10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Game(s) Played</w:t>
            </w:r>
          </w:p>
        </w:tc>
        <w:tc>
          <w:tcPr>
            <w:tcW w:w="117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Start</w:t>
            </w:r>
          </w:p>
        </w:tc>
        <w:tc>
          <w:tcPr>
            <w:tcW w:w="116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w:t>
            </w:r>
            <w:r>
              <w:br/>
            </w:r>
            <w:r>
              <w:rPr>
                <w:rFonts w:ascii="Times New Roman" w:hAnsi="Times New Roman"/>
                <w:b/>
                <w:i w:val="false"/>
                <w:color w:val="000000"/>
                <w:sz w:val="18"/>
              </w:rPr>
              <w:t>Purchases</w:t>
            </w:r>
          </w:p>
        </w:tc>
        <w:tc>
          <w:tcPr>
            <w:tcW w:w="157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Voids/ Packet Assembly</w:t>
            </w:r>
          </w:p>
        </w:tc>
        <w:tc>
          <w:tcPr>
            <w:tcW w:w="61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 Sold</w:t>
            </w:r>
          </w:p>
        </w:tc>
        <w:tc>
          <w:tcPr>
            <w:tcW w:w="1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Over/ Under)</w:t>
            </w:r>
          </w:p>
        </w:tc>
        <w:tc>
          <w:tcPr>
            <w:tcW w:w="76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w:t>
            </w:r>
            <w:r>
              <w:br/>
            </w:r>
            <w:r>
              <w:rPr>
                <w:rFonts w:ascii="Times New Roman" w:hAnsi="Times New Roman"/>
                <w:b/>
                <w:i w:val="false"/>
                <w:color w:val="000000"/>
                <w:sz w:val="18"/>
              </w:rPr>
              <w:t>Count</w:t>
            </w:r>
            <w:r>
              <w:br/>
            </w:r>
            <w:r>
              <w:rPr>
                <w:rFonts w:ascii="Times New Roman" w:hAnsi="Times New Roman"/>
                <w:b/>
                <w:i w:val="false"/>
                <w:color w:val="000000"/>
                <w:sz w:val="18"/>
              </w:rPr>
              <w:t>End</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041"/>
        <w:gridCol w:w="868"/>
        <w:gridCol w:w="1203"/>
        <w:gridCol w:w="1332"/>
        <w:gridCol w:w="1166"/>
        <w:gridCol w:w="713"/>
        <w:gridCol w:w="670"/>
        <w:gridCol w:w="1192"/>
        <w:gridCol w:w="767"/>
      </w:tblGrid>
      <w:tr>
        <w:trPr>
          <w:trHeight w:val="25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Preassembled Bingo Packets</w:t>
            </w:r>
          </w:p>
        </w:tc>
      </w:tr>
      <w:tr>
        <w:trPr>
          <w:trHeight w:val="675" w:hRule="atLeast"/>
        </w:trPr>
        <w:tc>
          <w:tcPr>
            <w:tcW w:w="104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Color on Top</w:t>
            </w:r>
          </w:p>
        </w:tc>
        <w:tc>
          <w:tcPr>
            <w:tcW w:w="8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Paper Size</w:t>
            </w:r>
          </w:p>
        </w:tc>
        <w:tc>
          <w:tcPr>
            <w:tcW w:w="120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Game(s) Played</w:t>
            </w:r>
          </w:p>
        </w:tc>
        <w:tc>
          <w:tcPr>
            <w:tcW w:w="133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Start</w:t>
            </w:r>
          </w:p>
        </w:tc>
        <w:tc>
          <w:tcPr>
            <w:tcW w:w="116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w:t>
            </w:r>
            <w:r>
              <w:br/>
            </w:r>
            <w:r>
              <w:rPr>
                <w:rFonts w:ascii="Times New Roman" w:hAnsi="Times New Roman"/>
                <w:b/>
                <w:i w:val="false"/>
                <w:color w:val="000000"/>
                <w:sz w:val="18"/>
              </w:rPr>
              <w:t>Purchases</w:t>
            </w:r>
          </w:p>
        </w:tc>
        <w:tc>
          <w:tcPr>
            <w:tcW w:w="71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Voids</w:t>
            </w:r>
          </w:p>
        </w:tc>
        <w:tc>
          <w:tcPr>
            <w:tcW w:w="67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 Sold</w:t>
            </w:r>
          </w:p>
        </w:tc>
        <w:tc>
          <w:tcPr>
            <w:tcW w:w="119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Over/ Under)</w:t>
            </w:r>
          </w:p>
        </w:tc>
        <w:tc>
          <w:tcPr>
            <w:tcW w:w="76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w:t>
            </w:r>
            <w:r>
              <w:br/>
            </w:r>
            <w:r>
              <w:rPr>
                <w:rFonts w:ascii="Times New Roman" w:hAnsi="Times New Roman"/>
                <w:b/>
                <w:i w:val="false"/>
                <w:color w:val="000000"/>
                <w:sz w:val="18"/>
              </w:rPr>
              <w:t>Count</w:t>
            </w:r>
            <w:r>
              <w:br/>
            </w:r>
            <w:r>
              <w:rPr>
                <w:rFonts w:ascii="Times New Roman" w:hAnsi="Times New Roman"/>
                <w:b/>
                <w:i w:val="false"/>
                <w:color w:val="000000"/>
                <w:sz w:val="18"/>
              </w:rPr>
              <w:t>End</w:t>
            </w:r>
          </w:p>
        </w:tc>
      </w:tr>
      <w:tr>
        <w:trPr>
          <w:trHeight w:val="255" w:hRule="atLeast"/>
        </w:trPr>
        <w:tc>
          <w:tcPr>
            <w:tcW w:w="104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04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04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0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033"/>
        <w:gridCol w:w="863"/>
        <w:gridCol w:w="1193"/>
        <w:gridCol w:w="1320"/>
        <w:gridCol w:w="1233"/>
        <w:gridCol w:w="713"/>
        <w:gridCol w:w="659"/>
        <w:gridCol w:w="1171"/>
        <w:gridCol w:w="767"/>
      </w:tblGrid>
      <w:tr>
        <w:trPr>
          <w:trHeight w:val="25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Bingo Packets Assembled In-House</w:t>
            </w:r>
          </w:p>
        </w:tc>
      </w:tr>
      <w:tr>
        <w:trPr>
          <w:trHeight w:val="405" w:hRule="atLeast"/>
        </w:trPr>
        <w:tc>
          <w:tcPr>
            <w:tcW w:w="0" w:type="auto"/>
            <w:gridSpan w:val="9"/>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When you assemble these packets, you must also decrease the applicable loose sheet bingo paper inventory above using the column Voids/Packet Assembly.</w:t>
            </w:r>
          </w:p>
        </w:tc>
      </w:tr>
      <w:tr>
        <w:trPr>
          <w:trHeight w:val="675" w:hRule="atLeast"/>
        </w:trPr>
        <w:tc>
          <w:tcPr>
            <w:tcW w:w="10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Color on Top</w:t>
            </w:r>
          </w:p>
        </w:tc>
        <w:tc>
          <w:tcPr>
            <w:tcW w:w="86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Paper Size</w:t>
            </w:r>
          </w:p>
        </w:tc>
        <w:tc>
          <w:tcPr>
            <w:tcW w:w="119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Game(s) Played</w:t>
            </w:r>
          </w:p>
        </w:tc>
        <w:tc>
          <w:tcPr>
            <w:tcW w:w="132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Start</w:t>
            </w:r>
          </w:p>
        </w:tc>
        <w:tc>
          <w:tcPr>
            <w:tcW w:w="12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w:t>
            </w:r>
            <w:r>
              <w:br/>
            </w:r>
            <w:r>
              <w:rPr>
                <w:rFonts w:ascii="Times New Roman" w:hAnsi="Times New Roman"/>
                <w:b/>
                <w:i w:val="false"/>
                <w:color w:val="000000"/>
                <w:sz w:val="18"/>
              </w:rPr>
              <w:t>Assembled</w:t>
            </w:r>
          </w:p>
        </w:tc>
        <w:tc>
          <w:tcPr>
            <w:tcW w:w="71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Voids</w:t>
            </w:r>
          </w:p>
        </w:tc>
        <w:tc>
          <w:tcPr>
            <w:tcW w:w="65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 Sold</w:t>
            </w:r>
          </w:p>
        </w:tc>
        <w:tc>
          <w:tcPr>
            <w:tcW w:w="117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Over/ Under)</w:t>
            </w:r>
          </w:p>
        </w:tc>
        <w:tc>
          <w:tcPr>
            <w:tcW w:w="76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w:t>
            </w:r>
            <w:r>
              <w:br/>
            </w:r>
            <w:r>
              <w:rPr>
                <w:rFonts w:ascii="Times New Roman" w:hAnsi="Times New Roman"/>
                <w:b/>
                <w:i w:val="false"/>
                <w:color w:val="000000"/>
                <w:sz w:val="18"/>
              </w:rPr>
              <w:t>Count</w:t>
            </w:r>
            <w:r>
              <w:br/>
            </w:r>
            <w:r>
              <w:rPr>
                <w:rFonts w:ascii="Times New Roman" w:hAnsi="Times New Roman"/>
                <w:b/>
                <w:i w:val="false"/>
                <w:color w:val="000000"/>
                <w:sz w:val="18"/>
              </w:rPr>
              <w:t>End</w:t>
            </w:r>
          </w:p>
        </w:tc>
      </w:tr>
      <w:tr>
        <w:trPr>
          <w:trHeight w:val="255" w:hRule="atLeast"/>
        </w:trPr>
        <w:tc>
          <w:tcPr>
            <w:tcW w:w="10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0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03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3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5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sectPr>
      <w:footerReference r:id="rId39"/>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B.pdf" Type="http://schemas.openxmlformats.org/officeDocument/2006/relationships/hyperlink" Id="rId5"/>
    <Relationship TargetMode="External" Target="https://www.legis.iowa.gov/docs/iac/rule/481.100.1.pdf" Type="http://schemas.openxmlformats.org/officeDocument/2006/relationships/hyperlink" Id="rId6"/>
    <Relationship TargetMode="External" Target="https://www.legis.iowa.gov/docs/ico/chapter/99B.23.pdf" Type="http://schemas.openxmlformats.org/officeDocument/2006/relationships/hyperlink" Id="rId7"/>
    <Relationship TargetMode="External" Target="https://www.legis.iowa.gov/docs/iac/rule/481.100.3.pdf" Type="http://schemas.openxmlformats.org/officeDocument/2006/relationships/hyperlink" Id="rId8"/>
    <Relationship TargetMode="External" Target="https://www.legis.iowa.gov/docs/iac/rule/481.100.4.pdf" Type="http://schemas.openxmlformats.org/officeDocument/2006/relationships/hyperlink" Id="rId9"/>
    <Relationship TargetMode="External" Target="https://www.legis.iowa.gov/docs/iac/rule/481.100.5.pdf" Type="http://schemas.openxmlformats.org/officeDocument/2006/relationships/hyperlink" Id="rId10"/>
    <Relationship TargetMode="External" Target="https://www.legis.iowa.gov/docs/ico/chapter/99B.12.pdf" Type="http://schemas.openxmlformats.org/officeDocument/2006/relationships/hyperlink" Id="rId11"/>
    <Relationship TargetMode="External" Target="https://www.legis.iowa.gov/docs/ico/chapter/99B.1.pdf" Type="http://schemas.openxmlformats.org/officeDocument/2006/relationships/hyperlink" Id="rId12"/>
    <Relationship TargetMode="External" Target="https://www.legis.iowa.gov/docs/ico/chapter/99B.5.pdf" Type="http://schemas.openxmlformats.org/officeDocument/2006/relationships/hyperlink" Id="rId13"/>
    <Relationship TargetMode="External" Target="https://www.legis.iowa.gov/docs/ico/chapter/99B.21.pdf" Type="http://schemas.openxmlformats.org/officeDocument/2006/relationships/hyperlink" Id="rId14"/>
    <Relationship TargetMode="External" Target="https://www.legis.iowa.gov/docs/ico/chapter/99B.8.pdf" Type="http://schemas.openxmlformats.org/officeDocument/2006/relationships/hyperlink" Id="rId15"/>
    <Relationship TargetMode="External" Target="https://www.legis.iowa.gov/docs/iac/rule/481.103.5.pdf" Type="http://schemas.openxmlformats.org/officeDocument/2006/relationships/hyperlink" Id="rId16"/>
    <Relationship TargetMode="External" Target="https://www.legis.iowa.gov/docs/ico/chapter/99B.21.pdf" Type="http://schemas.openxmlformats.org/officeDocument/2006/relationships/hyperlink" Id="rId17"/>
    <Relationship TargetMode="External" Target="https://www.legis.iowa.gov/docs/ico/chapter/99B.21.pdf" Type="http://schemas.openxmlformats.org/officeDocument/2006/relationships/hyperlink" Id="rId18"/>
    <Relationship TargetMode="External" Target="https://www.legis.iowa.gov/docs/ico/chapter/422.16.pdf" Type="http://schemas.openxmlformats.org/officeDocument/2006/relationships/hyperlink" Id="rId19"/>
    <Relationship TargetMode="External" Target="https://www.legis.iowa.gov/docs/ico/chapter/717D.2.pdf" Type="http://schemas.openxmlformats.org/officeDocument/2006/relationships/hyperlink" Id="rId20"/>
    <Relationship TargetMode="External" Target="https://www.legis.iowa.gov/docs/ico/chapter/99B.13.pdf" Type="http://schemas.openxmlformats.org/officeDocument/2006/relationships/hyperlink" Id="rId21"/>
    <Relationship TargetMode="External" Target="https://www.legis.iowa.gov/docs/ico/chapter/725.12.pdf" Type="http://schemas.openxmlformats.org/officeDocument/2006/relationships/hyperlink" Id="rId22"/>
    <Relationship TargetMode="External" Target="https://www.legis.iowa.gov/docs/iac/rule/481.103.12.pdf" Type="http://schemas.openxmlformats.org/officeDocument/2006/relationships/hyperlink" Id="rId23"/>
    <Relationship TargetMode="External" Target="https://www.legis.iowa.gov/docs/ico/chapter/99B.21.pdf" Type="http://schemas.openxmlformats.org/officeDocument/2006/relationships/hyperlink" Id="rId24"/>
    <Relationship TargetMode="External" Target="https://www.legis.iowa.gov/docs/ico/chapter/99B.21.pdf" Type="http://schemas.openxmlformats.org/officeDocument/2006/relationships/hyperlink" Id="rId25"/>
    <Relationship TargetMode="External" Target="https://www.legis.iowa.gov/docs/ico/chapter/99B.21.pdf" Type="http://schemas.openxmlformats.org/officeDocument/2006/relationships/hyperlink" Id="rId26"/>
    <Relationship TargetMode="External" Target="https://www.legis.iowa.gov/docs/ico/chapter/99B.21.pdf" Type="http://schemas.openxmlformats.org/officeDocument/2006/relationships/hyperlink" Id="rId27"/>
    <Relationship TargetMode="External" Target="https://www.legis.iowa.gov/docs/iac/rule/481.103.15.pdf" Type="http://schemas.openxmlformats.org/officeDocument/2006/relationships/hyperlink" Id="rId28"/>
    <Relationship TargetMode="External" Target="https://www.legis.iowa.gov/docs/ico/chapter/99B.16.pdf" Type="http://schemas.openxmlformats.org/officeDocument/2006/relationships/hyperlink" Id="rId29"/>
    <Relationship TargetMode="External" Target="http://dial.iowa.gov" Type="http://schemas.openxmlformats.org/officeDocument/2006/relationships/hyperlink" Id="rId30"/>
    <Relationship TargetMode="External" Target="https://www.legis.iowa.gov/docs/ico/chapter/99B.11.pdf" Type="http://schemas.openxmlformats.org/officeDocument/2006/relationships/hyperlink" Id="rId31"/>
    <Relationship TargetMode="External" Target="https://www.legis.iowa.gov/docs/ico/chapter/99B.21.pdf" Type="http://schemas.openxmlformats.org/officeDocument/2006/relationships/hyperlink" Id="rId32"/>
    <Relationship TargetMode="External" Target="https://www.legis.iowa.gov/docs/ico/chapter/99B.22.pdf" Type="http://schemas.openxmlformats.org/officeDocument/2006/relationships/hyperlink" Id="rId33"/>
    <Relationship TargetMode="External" Target="https://www.legis.iowa.gov/docs/ico/chapter/99B.12.pdf" Type="http://schemas.openxmlformats.org/officeDocument/2006/relationships/hyperlink" Id="rId34"/>
    <Relationship TargetMode="External" Target="https://www.legis.iowa.gov/docs/ico/chapter/99B.1-7.pdf" Type="http://schemas.openxmlformats.org/officeDocument/2006/relationships/hyperlink" Id="rId35"/>
    <Relationship TargetMode="External" Target="https://www.legis.iowa.gov/docs/ico/chapter/99B.11-16.pdf" Type="http://schemas.openxmlformats.org/officeDocument/2006/relationships/hyperlink" Id="rId36"/>
    <Relationship TargetMode="External" Target="https://www.legis.iowa.gov/docs/ico/chapter/99B.21-23.pdf" Type="http://schemas.openxmlformats.org/officeDocument/2006/relationships/hyperlink" Id="rId37"/>
    <Relationship TargetMode="External" Target="https://www.legis.iowa.gov/docs/ico/chapter/99B.32.pdf" Type="http://schemas.openxmlformats.org/officeDocument/2006/relationships/hyperlink" Id="rId38"/>
    <Relationship Target="footer.xml" Type="http://schemas.openxmlformats.org/officeDocument/2006/relationships/footer"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