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1028</w:t>
      </w:r>
    </w:p>
    <w:p>
      <w:pPr>
        <w:spacing w:before="0" w:after="0"/>
        <w:ind w:left="120"/>
        <w:jc w:val="center"/>
      </w:pPr>
      <w:r>
        <w:rPr>
          <w:rFonts w:ascii="Times New Roman" w:hAnsi="Times New Roman"/>
          <w:b w:val="false"/>
          <w:i w:val="false"/>
          <w:color w:val="000000"/>
          <w:sz w:val="21"/>
        </w:rPr>
        <w:t>LICENSED PUBLIC ACCOUNTING FIRMS</w:t>
      </w:r>
    </w:p>
    <w:p>
      <w:pPr>
        <w:spacing w:before="0" w:after="0"/>
        <w:ind w:left="120"/>
        <w:jc w:val="center"/>
      </w:pPr>
      <w:r>
        <w:rPr>
          <w:rFonts w:ascii="Times New Roman" w:hAnsi="Times New Roman"/>
          <w:b w:val="false"/>
          <w:i w:val="false"/>
          <w:color w:val="000000"/>
          <w:sz w:val="14"/>
        </w:rPr>
        <w:t>[Prior to 7/13/88, see Accountancy, Board of[10]]</w:t>
      </w:r>
    </w:p>
    <w:p>
      <w:pPr>
        <w:spacing w:before="0" w:after="0"/>
        <w:ind w:left="120"/>
        <w:jc w:val="center"/>
      </w:pPr>
      <w:r>
        <w:rPr>
          <w:rFonts w:ascii="Times New Roman" w:hAnsi="Times New Roman"/>
          <w:b w:val="false"/>
          <w:i w:val="false"/>
          <w:color w:val="000000"/>
          <w:sz w:val="14"/>
        </w:rPr>
        <w:t>[Prior to 6/10/26, see Accountancy Examining Board[193A] Ch 8]</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4/10/29</w:t>
      </w:r>
    </w:p>
    <w:p>
      <w:pPr>
        <w:spacing w:before="0" w:after="0"/>
        <w:ind w:left="120"/>
        <w:jc w:val="both"/>
      </w:pPr>
      <w:r>
        <w:rPr>
          <w:rFonts w:ascii="Times New Roman" w:hAnsi="Times New Roman"/>
          <w:b/>
          <w:i w:val="false"/>
          <w:color w:val="000000"/>
          <w:sz w:val="22"/>
        </w:rPr>
        <w:t>481—1028.1</w:t>
      </w:r>
      <w:r>
        <w:rPr>
          <w:rFonts w:ascii="Times New Roman" w:hAnsi="Times New Roman"/>
          <w:b/>
          <w:i w:val="false"/>
          <w:color w:val="000000"/>
          <w:sz w:val="22"/>
        </w:rPr>
        <w:t xml:space="preserve">(542) </w:t>
      </w:r>
      <w:r>
        <w:rPr>
          <w:rFonts w:ascii="Times New Roman" w:hAnsi="Times New Roman"/>
          <w:b/>
          <w:i w:val="false"/>
          <w:color w:val="000000"/>
          <w:sz w:val="22"/>
        </w:rPr>
        <w:t xml:space="preserve">Initial permit to practice.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1028.1(1)</w:t>
      </w:r>
      <w:r>
        <w:rPr>
          <w:rFonts w:ascii="Times New Roman" w:hAnsi="Times New Roman"/>
          <w:b w:val="false"/>
          <w:i w:val="false"/>
          <w:color w:val="000000"/>
          <w:sz w:val="22"/>
        </w:rPr>
        <w:t> </w:t>
      </w:r>
      <w:r>
        <w:rPr>
          <w:rFonts w:ascii="Times New Roman" w:hAnsi="Times New Roman"/>
          <w:b w:val="false"/>
          <w:i w:val="false"/>
          <w:color w:val="000000"/>
          <w:sz w:val="22"/>
        </w:rPr>
        <w:t xml:space="preserve">A sole proprietorship, corporation, partnership, limited liability company, or any other form of organization may apply for a permit to practice under Iowa Code section </w:t>
      </w:r>
      <w:hyperlink r:id="rId5">
        <w:r>
          <w:rPr>
            <w:rStyle w:val="Hyperlink"/>
            <w:rFonts w:ascii="Times New Roman" w:hAnsi="Times New Roman"/>
            <w:b w:val="false"/>
            <w:i w:val="false"/>
            <w:color w:val="000000"/>
            <w:sz w:val="22"/>
          </w:rPr>
          <w:t>542.8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1028.1(2)</w:t>
      </w:r>
      <w:r>
        <w:rPr>
          <w:rFonts w:ascii="Times New Roman" w:hAnsi="Times New Roman"/>
          <w:b w:val="false"/>
          <w:i w:val="false"/>
          <w:color w:val="000000"/>
          <w:sz w:val="22"/>
        </w:rPr>
        <w:t> </w:t>
      </w:r>
      <w:r>
        <w:rPr>
          <w:rFonts w:ascii="Times New Roman" w:hAnsi="Times New Roman"/>
          <w:b w:val="false"/>
          <w:i w:val="false"/>
          <w:color w:val="000000"/>
          <w:sz w:val="22"/>
        </w:rPr>
        <w:t xml:space="preserve">The application may be completed and submitted through the online application process and provide sufficient information pursuant to Iowa Code section </w:t>
      </w:r>
      <w:hyperlink r:id="rId6">
        <w:r>
          <w:rPr>
            <w:rStyle w:val="Hyperlink"/>
            <w:rFonts w:ascii="Times New Roman" w:hAnsi="Times New Roman"/>
            <w:b w:val="false"/>
            <w:i w:val="false"/>
            <w:color w:val="000000"/>
            <w:sz w:val="22"/>
          </w:rPr>
          <w:t>542.8(12)</w:t>
        </w:r>
      </w:hyperlink>
      <w:r>
        <w:rPr>
          <w:rFonts w:ascii="Times New Roman" w:hAnsi="Times New Roman"/>
          <w:b w:val="false"/>
          <w:i w:val="false"/>
          <w:color w:val="000000"/>
          <w:sz w:val="22"/>
        </w:rPr>
        <w:t xml:space="preserve"> or certificates issued by the board under Iowa Code section </w:t>
      </w:r>
      <w:hyperlink r:id="rId7">
        <w:r>
          <w:rPr>
            <w:rStyle w:val="Hyperlink"/>
            <w:rFonts w:ascii="Times New Roman" w:hAnsi="Times New Roman"/>
            <w:b w:val="false"/>
            <w:i w:val="false"/>
            <w:color w:val="000000"/>
            <w:sz w:val="22"/>
          </w:rPr>
          <w:t>542.6</w:t>
        </w:r>
      </w:hyperlink>
      <w:r>
        <w:rPr>
          <w:rFonts w:ascii="Times New Roman" w:hAnsi="Times New Roman"/>
          <w:b w:val="false"/>
          <w:i w:val="false"/>
          <w:color w:val="000000"/>
          <w:sz w:val="22"/>
        </w:rPr>
        <w:t xml:space="preserve"> or </w:t>
      </w:r>
      <w:hyperlink r:id="rId8">
        <w:r>
          <w:rPr>
            <w:rStyle w:val="Hyperlink"/>
            <w:rFonts w:ascii="Times New Roman" w:hAnsi="Times New Roman"/>
            <w:b w:val="false"/>
            <w:i w:val="false"/>
            <w:color w:val="000000"/>
            <w:sz w:val="22"/>
          </w:rPr>
          <w:t>542.19</w:t>
        </w:r>
      </w:hyperlink>
      <w:r>
        <w:rPr>
          <w:rFonts w:ascii="Times New Roman" w:hAnsi="Times New Roman"/>
          <w:b w:val="false"/>
          <w:i w:val="false"/>
          <w:color w:val="000000"/>
          <w:sz w:val="22"/>
        </w:rPr>
        <w:t xml:space="preserve"> or are eligible to practice under practice privilege pursuant to Iowa Code section </w:t>
      </w:r>
      <w:hyperlink r:id="rId9">
        <w:r>
          <w:rPr>
            <w:rStyle w:val="Hyperlink"/>
            <w:rFonts w:ascii="Times New Roman" w:hAnsi="Times New Roman"/>
            <w:b w:val="false"/>
            <w:i w:val="false"/>
            <w:color w:val="000000"/>
            <w:sz w:val="22"/>
          </w:rPr>
          <w:t>542.20</w:t>
        </w:r>
      </w:hyperlink>
      <w:r>
        <w:rPr>
          <w:rFonts w:ascii="Times New Roman" w:hAnsi="Times New Roman"/>
          <w:b w:val="false"/>
          <w:i w:val="false"/>
          <w:color w:val="000000"/>
          <w:sz w:val="22"/>
        </w:rPr>
        <w:t xml:space="preserve">, or otherwise hold a license or certificate to practice public accounting in another state. At least one owner has to be licensed under Iowa Code section </w:t>
      </w:r>
      <w:hyperlink r:id="rId10">
        <w:r>
          <w:rPr>
            <w:rStyle w:val="Hyperlink"/>
            <w:rFonts w:ascii="Times New Roman" w:hAnsi="Times New Roman"/>
            <w:b w:val="false"/>
            <w:i w:val="false"/>
            <w:color w:val="000000"/>
            <w:sz w:val="22"/>
          </w:rPr>
          <w:t>542.8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1028.1(3)</w:t>
      </w:r>
      <w:r>
        <w:rPr>
          <w:rFonts w:ascii="Times New Roman" w:hAnsi="Times New Roman"/>
          <w:b w:val="false"/>
          <w:i w:val="false"/>
          <w:color w:val="000000"/>
          <w:sz w:val="22"/>
        </w:rPr>
        <w:t> </w:t>
      </w:r>
      <w:r>
        <w:rPr>
          <w:rFonts w:ascii="Times New Roman" w:hAnsi="Times New Roman"/>
          <w:b w:val="false"/>
          <w:i w:val="false"/>
          <w:color w:val="000000"/>
          <w:sz w:val="22"/>
        </w:rPr>
        <w:t>The application will list the physical location and contact information for all offices within this state and the licensee in charge of each such office.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1028.1(4)</w:t>
      </w:r>
      <w:r>
        <w:rPr>
          <w:rFonts w:ascii="Times New Roman" w:hAnsi="Times New Roman"/>
          <w:b w:val="false"/>
          <w:i w:val="false"/>
          <w:color w:val="000000"/>
          <w:sz w:val="22"/>
        </w:rPr>
        <w:t> </w:t>
      </w:r>
      <w:r>
        <w:rPr>
          <w:rFonts w:ascii="Times New Roman" w:hAnsi="Times New Roman"/>
          <w:b w:val="false"/>
          <w:i w:val="false"/>
          <w:color w:val="000000"/>
          <w:sz w:val="22"/>
        </w:rPr>
        <w:t>Fraud or deceit, by commission or omission, in obtaining a firm permit to practice is a ground for discipline, including permanent revocation of the firm’s permit to practice, the individual certificate of an Iowa LPA or CPA, or an individual’s practice privilege, as applicable to the entity or persons responsible.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1028.1(5)</w:t>
      </w:r>
      <w:r>
        <w:rPr>
          <w:rFonts w:ascii="Times New Roman" w:hAnsi="Times New Roman"/>
          <w:b w:val="false"/>
          <w:i w:val="false"/>
          <w:color w:val="000000"/>
          <w:sz w:val="22"/>
        </w:rPr>
        <w:t> </w:t>
      </w:r>
      <w:r>
        <w:rPr>
          <w:rFonts w:ascii="Times New Roman" w:hAnsi="Times New Roman"/>
          <w:b w:val="false"/>
          <w:i w:val="false"/>
          <w:color w:val="000000"/>
          <w:sz w:val="22"/>
        </w:rPr>
        <w:t xml:space="preserve">An initial or renewal application for a firm permit to practice may be denied pursuant to Iowa Code section </w:t>
      </w:r>
      <w:hyperlink r:id="rId11">
        <w:r>
          <w:rPr>
            <w:rStyle w:val="Hyperlink"/>
            <w:rFonts w:ascii="Times New Roman" w:hAnsi="Times New Roman"/>
            <w:b w:val="false"/>
            <w:i w:val="false"/>
            <w:color w:val="000000"/>
            <w:sz w:val="22"/>
          </w:rPr>
          <w:t>542.8(12)</w:t>
        </w:r>
      </w:hyperlink>
      <w:r>
        <w:rPr>
          <w:rFonts w:ascii="Times New Roman" w:hAnsi="Times New Roman"/>
          <w:b w:val="false"/>
          <w:i/>
          <w:color w:val="000000"/>
          <w:sz w:val="22"/>
        </w:rPr>
        <w: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7684C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481—1028.2</w:t>
      </w:r>
      <w:r>
        <w:rPr>
          <w:rFonts w:ascii="Times New Roman" w:hAnsi="Times New Roman"/>
          <w:b/>
          <w:i w:val="false"/>
          <w:color w:val="000000"/>
          <w:sz w:val="22"/>
        </w:rPr>
        <w:t xml:space="preserve">(542) </w:t>
      </w:r>
      <w:r>
        <w:rPr>
          <w:rFonts w:ascii="Times New Roman" w:hAnsi="Times New Roman"/>
          <w:b/>
          <w:i w:val="false"/>
          <w:color w:val="000000"/>
          <w:sz w:val="22"/>
        </w:rPr>
        <w:t xml:space="preserve">Renewal procedures. </w:t>
      </w:r>
      <w:r>
        <w:rPr>
          <w:rFonts w:ascii="Times New Roman" w:hAnsi="Times New Roman"/>
          <w:b w:val="false"/>
          <w:i w:val="false"/>
          <w:color w:val="000000"/>
          <w:sz w:val="22"/>
        </w:rPr>
        <w:t>The permit holder will submit an online renewal with the board by the June 30 deadline each year. Applications are deemed filed on the date of renewal.</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7684C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481—1028.3</w:t>
      </w:r>
      <w:r>
        <w:rPr>
          <w:rFonts w:ascii="Times New Roman" w:hAnsi="Times New Roman"/>
          <w:b/>
          <w:i w:val="false"/>
          <w:color w:val="000000"/>
          <w:sz w:val="22"/>
        </w:rPr>
        <w:t xml:space="preserve">(542) </w:t>
      </w:r>
      <w:r>
        <w:rPr>
          <w:rFonts w:ascii="Times New Roman" w:hAnsi="Times New Roman"/>
          <w:b/>
          <w:i w:val="false"/>
          <w:color w:val="000000"/>
          <w:sz w:val="22"/>
        </w:rPr>
        <w:t xml:space="preserve">Failure to renew permit.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1028.3(1)</w:t>
      </w:r>
      <w:r>
        <w:rPr>
          <w:rFonts w:ascii="Times New Roman" w:hAnsi="Times New Roman"/>
          <w:b w:val="false"/>
          <w:i w:val="false"/>
          <w:color w:val="000000"/>
          <w:sz w:val="22"/>
        </w:rPr>
        <w:t> </w:t>
      </w:r>
      <w:r>
        <w:rPr>
          <w:rFonts w:ascii="Times New Roman" w:hAnsi="Times New Roman"/>
          <w:b w:val="false"/>
          <w:i w:val="false"/>
          <w:color w:val="000000"/>
          <w:sz w:val="22"/>
        </w:rPr>
        <w:t>A firm that fails to renew the permit by the expiration date, but does so within 30 days following the expiration date, will be assessed a penalty of 25 percent of the annual renewal fee.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1028.3(2)</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firm fails to renew the permit within the 30-day grace period outlined in subrule </w:t>
      </w:r>
      <w:hyperlink r:id="rId12">
        <w:r>
          <w:rPr>
            <w:rStyle w:val="Hyperlink"/>
            <w:rFonts w:ascii="Times New Roman" w:hAnsi="Times New Roman"/>
            <w:b w:val="false"/>
            <w:i w:val="false"/>
            <w:color w:val="000000"/>
            <w:sz w:val="22"/>
          </w:rPr>
          <w:t>1028.3(1)</w:t>
        </w:r>
      </w:hyperlink>
      <w:r>
        <w:rPr>
          <w:rFonts w:ascii="Times New Roman" w:hAnsi="Times New Roman"/>
          <w:b w:val="false"/>
          <w:i w:val="false"/>
          <w:color w:val="000000"/>
          <w:sz w:val="22"/>
        </w:rPr>
        <w:t xml:space="preserve">, the permit will lapse and the firm may then apply for reinstatement in accordance with subrule </w:t>
      </w:r>
      <w:hyperlink r:id="rId13">
        <w:r>
          <w:rPr>
            <w:rStyle w:val="Hyperlink"/>
            <w:rFonts w:ascii="Times New Roman" w:hAnsi="Times New Roman"/>
            <w:b w:val="false"/>
            <w:i w:val="false"/>
            <w:color w:val="000000"/>
            <w:sz w:val="22"/>
          </w:rPr>
          <w:t>1028.3(3)</w:t>
        </w:r>
      </w:hyperlink>
      <w:r>
        <w:rPr>
          <w:rFonts w:ascii="Times New Roman" w:hAnsi="Times New Roman"/>
          <w:b w:val="false"/>
          <w:i w:val="false"/>
          <w:color w:val="000000"/>
          <w:sz w:val="22"/>
        </w:rPr>
        <w:t>. The firm is not authorized to practice as an LPA firm during the period of time that the permit is lapsed, including the 30-day grace period.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1028.3(3)</w:t>
      </w:r>
      <w:r>
        <w:rPr>
          <w:rFonts w:ascii="Times New Roman" w:hAnsi="Times New Roman"/>
          <w:b w:val="false"/>
          <w:i w:val="false"/>
          <w:color w:val="000000"/>
          <w:sz w:val="22"/>
        </w:rPr>
        <w:t> </w:t>
      </w:r>
      <w:r>
        <w:rPr>
          <w:rFonts w:ascii="Times New Roman" w:hAnsi="Times New Roman"/>
          <w:b w:val="false"/>
          <w:i w:val="false"/>
          <w:color w:val="000000"/>
          <w:sz w:val="22"/>
        </w:rPr>
        <w:t xml:space="preserve">The board may reinstate the permit upon payment of the proper renewal fee and a penalty as provided in rule </w:t>
      </w:r>
      <w:hyperlink r:id="rId14">
        <w:r>
          <w:rPr>
            <w:rStyle w:val="Hyperlink"/>
            <w:rFonts w:ascii="Times New Roman" w:hAnsi="Times New Roman"/>
            <w:b w:val="false"/>
            <w:i w:val="false"/>
            <w:color w:val="000000"/>
            <w:sz w:val="22"/>
          </w:rPr>
          <w:t>481—1032.1</w:t>
        </w:r>
      </w:hyperlink>
      <w:r>
        <w:rPr>
          <w:rFonts w:ascii="Times New Roman" w:hAnsi="Times New Roman"/>
          <w:b w:val="false"/>
          <w:i w:val="false"/>
          <w:color w:val="000000"/>
          <w:sz w:val="22"/>
        </w:rPr>
        <w:t>(542). A written statement outlining the firm’s professional activities during the period of lapsed licensure is needed in this context.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1028.3(4)</w:t>
      </w:r>
      <w:r>
        <w:rPr>
          <w:rFonts w:ascii="Times New Roman" w:hAnsi="Times New Roman"/>
          <w:b w:val="false"/>
          <w:i w:val="false"/>
          <w:color w:val="000000"/>
          <w:sz w:val="22"/>
        </w:rPr>
        <w:t> </w:t>
      </w:r>
      <w:r>
        <w:rPr>
          <w:rFonts w:ascii="Times New Roman" w:hAnsi="Times New Roman"/>
          <w:b w:val="false"/>
          <w:i w:val="false"/>
          <w:color w:val="000000"/>
          <w:sz w:val="22"/>
        </w:rPr>
        <w:t>The board may find probable cause to file charges for unlicensed practice if the firm continues to offer services defined as the practice of accounting while using the title “LPAs” or “LPA firm” during the period of lapsed licensure.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7684C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481—1028.4</w:t>
      </w:r>
      <w:r>
        <w:rPr>
          <w:rFonts w:ascii="Times New Roman" w:hAnsi="Times New Roman"/>
          <w:b/>
          <w:i w:val="false"/>
          <w:color w:val="000000"/>
          <w:sz w:val="22"/>
        </w:rPr>
        <w:t xml:space="preserve">(542) </w:t>
      </w:r>
      <w:r>
        <w:rPr>
          <w:rFonts w:ascii="Times New Roman" w:hAnsi="Times New Roman"/>
          <w:b/>
          <w:i w:val="false"/>
          <w:color w:val="000000"/>
          <w:sz w:val="22"/>
        </w:rPr>
        <w:t xml:space="preserve">Notice to the board. </w:t>
      </w:r>
      <w:r>
        <w:rPr>
          <w:rFonts w:ascii="Times New Roman" w:hAnsi="Times New Roman"/>
          <w:b w:val="false"/>
          <w:i w:val="false"/>
          <w:color w:val="000000"/>
          <w:sz w:val="22"/>
        </w:rPr>
        <w:t xml:space="preserve">A holder of or an applicant for a permit will notify the board in writing within 30 days in compliance with Iowa Code section </w:t>
      </w:r>
      <w:hyperlink r:id="rId15">
        <w:r>
          <w:rPr>
            <w:rStyle w:val="Hyperlink"/>
            <w:rFonts w:ascii="Times New Roman" w:hAnsi="Times New Roman"/>
            <w:b w:val="false"/>
            <w:i w:val="false"/>
            <w:color w:val="000000"/>
            <w:sz w:val="22"/>
          </w:rPr>
          <w:t>542.8(15)</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7684C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481—1028.5</w:t>
      </w:r>
      <w:r>
        <w:rPr>
          <w:rFonts w:ascii="Times New Roman" w:hAnsi="Times New Roman"/>
          <w:b/>
          <w:i w:val="false"/>
          <w:color w:val="000000"/>
          <w:sz w:val="22"/>
        </w:rPr>
        <w:t xml:space="preserve">(542) </w:t>
      </w:r>
      <w:r>
        <w:rPr>
          <w:rFonts w:ascii="Times New Roman" w:hAnsi="Times New Roman"/>
          <w:b/>
          <w:i w:val="false"/>
          <w:color w:val="000000"/>
          <w:sz w:val="22"/>
        </w:rPr>
        <w:t xml:space="preserve">Noncompliance. </w:t>
      </w:r>
      <w:r>
        <w:rPr>
          <w:rFonts w:ascii="Times New Roman" w:hAnsi="Times New Roman"/>
          <w:b w:val="false"/>
          <w:i w:val="false"/>
          <w:color w:val="000000"/>
          <w:sz w:val="22"/>
        </w:rPr>
        <w:t xml:space="preserve">A firm which, after receiving or renewing a permit, is not in compliance with Iowa Code section </w:t>
      </w:r>
      <w:hyperlink r:id="rId16">
        <w:r>
          <w:rPr>
            <w:rStyle w:val="Hyperlink"/>
            <w:rFonts w:ascii="Times New Roman" w:hAnsi="Times New Roman"/>
            <w:b w:val="false"/>
            <w:i w:val="false"/>
            <w:color w:val="000000"/>
            <w:sz w:val="22"/>
          </w:rPr>
          <w:t>542.8</w:t>
        </w:r>
      </w:hyperlink>
      <w:r>
        <w:rPr>
          <w:rFonts w:ascii="Times New Roman" w:hAnsi="Times New Roman"/>
          <w:b w:val="false"/>
          <w:i w:val="false"/>
          <w:color w:val="000000"/>
          <w:sz w:val="22"/>
        </w:rPr>
        <w:t xml:space="preserve"> as a result of a change in firm ownership or personnel will take corrective action to bring the firm back into compliance as quickly as possible or apply to modify or amend the permit. The board may grant a reasonable period of time, usually 90 days, for a firm to take such corrective action. Failure to comply within a reasonable period as deemed by the board will result in the suspension or revocation of the firm permit.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7684C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481—1028.6</w:t>
      </w:r>
      <w:r>
        <w:rPr>
          <w:rFonts w:ascii="Times New Roman" w:hAnsi="Times New Roman"/>
          <w:b/>
          <w:i w:val="false"/>
          <w:color w:val="000000"/>
          <w:sz w:val="22"/>
        </w:rPr>
        <w:t xml:space="preserve">(542) </w:t>
      </w:r>
      <w:r>
        <w:rPr>
          <w:rFonts w:ascii="Times New Roman" w:hAnsi="Times New Roman"/>
          <w:b/>
          <w:i w:val="false"/>
          <w:color w:val="000000"/>
          <w:sz w:val="22"/>
        </w:rPr>
        <w:t xml:space="preserve">Peer review obligations. </w:t>
      </w:r>
      <w:r>
        <w:rPr>
          <w:rFonts w:ascii="Times New Roman" w:hAnsi="Times New Roman"/>
          <w:b w:val="false"/>
          <w:i w:val="false"/>
          <w:color w:val="000000"/>
          <w:sz w:val="22"/>
        </w:rPr>
        <w:t xml:space="preserve">Firm peer review is necessary pursuant to Iowa Code section </w:t>
      </w:r>
      <w:hyperlink r:id="rId17">
        <w:r>
          <w:rPr>
            <w:rStyle w:val="Hyperlink"/>
            <w:rFonts w:ascii="Times New Roman" w:hAnsi="Times New Roman"/>
            <w:b w:val="false"/>
            <w:i w:val="false"/>
            <w:color w:val="000000"/>
            <w:sz w:val="22"/>
          </w:rPr>
          <w:t>542.7(8)</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7684C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chapters </w:t>
      </w:r>
      <w:hyperlink r:id="rId18">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w:t>
      </w:r>
      <w:hyperlink r:id="rId19">
        <w:r>
          <w:rPr>
            <w:rStyle w:val="Hyperlink"/>
            <w:rFonts w:ascii="Times New Roman" w:hAnsi="Times New Roman"/>
            <w:b w:val="false"/>
            <w:i w:val="false"/>
            <w:color w:val="000000"/>
            <w:sz w:val="22"/>
          </w:rPr>
          <w:t>272C</w:t>
        </w:r>
      </w:hyperlink>
      <w:r>
        <w:rPr>
          <w:rFonts w:ascii="Times New Roman" w:hAnsi="Times New Roman"/>
          <w:b w:val="false"/>
          <w:i w:val="false"/>
          <w:color w:val="000000"/>
          <w:sz w:val="22"/>
        </w:rPr>
        <w:t xml:space="preserve"> and </w:t>
      </w:r>
      <w:hyperlink r:id="rId20">
        <w:r>
          <w:rPr>
            <w:rStyle w:val="Hyperlink"/>
            <w:rFonts w:ascii="Times New Roman" w:hAnsi="Times New Roman"/>
            <w:b w:val="false"/>
            <w:i w:val="false"/>
            <w:color w:val="000000"/>
            <w:sz w:val="22"/>
          </w:rPr>
          <w:t>542</w:t>
        </w:r>
      </w:hyperlink>
      <w:r>
        <w:rPr>
          <w:rFonts w:ascii="Times New Roman" w:hAnsi="Times New Roman"/>
          <w:b w:val="false"/>
          <w:i w:val="false"/>
          <w:color w:val="000000"/>
          <w:sz w:val="22"/>
        </w:rPr>
        <w:t xml:space="preserve"> and section </w:t>
      </w:r>
      <w:hyperlink r:id="rId21">
        <w:r>
          <w:rPr>
            <w:rStyle w:val="Hyperlink"/>
            <w:rFonts w:ascii="Times New Roman" w:hAnsi="Times New Roman"/>
            <w:b w:val="false"/>
            <w:i w:val="false"/>
            <w:color w:val="000000"/>
            <w:sz w:val="22"/>
          </w:rPr>
          <w:t>10A.506</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and effective September 22, 1975 under ch 17A, C’73]</w:t>
      </w:r>
    </w:p>
    <w:p>
      <w:pPr>
        <w:spacing w:before="0" w:after="0"/>
        <w:ind w:left="120"/>
        <w:jc w:val="center"/>
      </w:pPr>
      <w:r>
        <w:rPr>
          <w:rFonts w:ascii="Times New Roman" w:hAnsi="Times New Roman"/>
          <w:b w:val="false"/>
          <w:i w:val="false"/>
          <w:color w:val="000000"/>
          <w:sz w:val="21"/>
        </w:rPr>
        <w:t>[Filed 6/22/88, Notice 3/9/88—published 7/13/88, effective 8/17/88]</w:t>
      </w:r>
    </w:p>
    <w:p>
      <w:pPr>
        <w:spacing w:before="0" w:after="0"/>
        <w:ind w:left="120"/>
        <w:jc w:val="center"/>
      </w:pPr>
      <w:r>
        <w:rPr>
          <w:rFonts w:ascii="Times New Roman" w:hAnsi="Times New Roman"/>
          <w:b w:val="false"/>
          <w:i w:val="false"/>
          <w:color w:val="000000"/>
          <w:sz w:val="21"/>
        </w:rPr>
        <w:t>[Filed 8/1/91, Notice 5/15/91—published 8/21/91, effective 9/25/91]</w:t>
      </w:r>
    </w:p>
    <w:p>
      <w:pPr>
        <w:spacing w:before="0" w:after="0"/>
        <w:ind w:left="120"/>
        <w:jc w:val="center"/>
      </w:pPr>
      <w:r>
        <w:rPr>
          <w:rFonts w:ascii="Times New Roman" w:hAnsi="Times New Roman"/>
          <w:b w:val="false"/>
          <w:i w:val="false"/>
          <w:color w:val="000000"/>
          <w:sz w:val="21"/>
        </w:rPr>
        <w:t>[Filed 12/17/93, Notice 10/13/93—published 1/5/94, effective 2/9/94]</w:t>
      </w:r>
    </w:p>
    <w:p>
      <w:pPr>
        <w:spacing w:before="0" w:after="0"/>
        <w:ind w:left="120"/>
        <w:jc w:val="center"/>
      </w:pPr>
      <w:r>
        <w:rPr>
          <w:rFonts w:ascii="Times New Roman" w:hAnsi="Times New Roman"/>
          <w:b w:val="false"/>
          <w:i w:val="false"/>
          <w:color w:val="000000"/>
          <w:sz w:val="21"/>
        </w:rPr>
        <w:t>[Filed 7/11/97, Notice 4/23/97—published 7/30/97, effective 9/3/97]</w:t>
      </w:r>
    </w:p>
    <w:p>
      <w:pPr>
        <w:spacing w:before="0" w:after="0"/>
        <w:ind w:left="120"/>
        <w:jc w:val="center"/>
      </w:pPr>
      <w:r>
        <w:rPr>
          <w:rFonts w:ascii="Times New Roman" w:hAnsi="Times New Roman"/>
          <w:b w:val="false"/>
          <w:i w:val="false"/>
          <w:color w:val="000000"/>
          <w:sz w:val="21"/>
        </w:rPr>
        <w:t>[Filed 4/12/02, Notice 3/6/02—published 5/1/02, effective 7/1/02]</w:t>
      </w:r>
    </w:p>
    <w:p>
      <w:pPr>
        <w:spacing w:before="0" w:after="0"/>
        <w:ind w:left="120"/>
        <w:jc w:val="center"/>
      </w:pPr>
      <w:r>
        <w:rPr>
          <w:rFonts w:ascii="Times New Roman" w:hAnsi="Times New Roman"/>
          <w:b w:val="false"/>
          <w:i w:val="false"/>
          <w:color w:val="000000"/>
          <w:sz w:val="21"/>
        </w:rPr>
        <w:t>[Filed 1/19/05, Notice 12/8/04—published 2/16/05, effective 3/23/05]</w:t>
      </w:r>
    </w:p>
    <w:p>
      <w:pPr>
        <w:spacing w:before="0" w:after="0"/>
        <w:ind w:left="120"/>
        <w:jc w:val="center"/>
      </w:pPr>
      <w:r>
        <w:rPr>
          <w:rFonts w:ascii="Times New Roman" w:hAnsi="Times New Roman"/>
          <w:b w:val="false"/>
          <w:i w:val="false"/>
          <w:color w:val="000000"/>
          <w:sz w:val="21"/>
        </w:rPr>
        <w:t>[Filed ARC 7715B</w:t>
      </w:r>
      <w:r>
        <w:rPr>
          <w:rFonts w:ascii="Times New Roman" w:hAnsi="Times New Roman"/>
          <w:b w:val="false"/>
          <w:i w:val="false"/>
          <w:color w:val="000000"/>
          <w:sz w:val="21"/>
        </w:rPr>
        <w:t xml:space="preserve"> (Notice ARC 7484B, IAB 1/14/09)</w:t>
      </w:r>
      <w:r>
        <w:rPr>
          <w:rFonts w:ascii="Times New Roman" w:hAnsi="Times New Roman"/>
          <w:b w:val="false"/>
          <w:i w:val="false"/>
          <w:color w:val="000000"/>
          <w:sz w:val="21"/>
        </w:rPr>
        <w:t>, IAB 4/22/09, effective 7/1/09]</w:t>
      </w:r>
    </w:p>
    <w:p>
      <w:pPr>
        <w:spacing w:before="0" w:after="0"/>
        <w:ind w:left="120"/>
        <w:jc w:val="center"/>
      </w:pPr>
      <w:r>
        <w:rPr>
          <w:rFonts w:ascii="Times New Roman" w:hAnsi="Times New Roman"/>
          <w:b w:val="false"/>
          <w:i w:val="false"/>
          <w:color w:val="000000"/>
          <w:sz w:val="21"/>
        </w:rPr>
        <w:t>[Filed ARC 2152C</w:t>
      </w:r>
      <w:r>
        <w:rPr>
          <w:rFonts w:ascii="Times New Roman" w:hAnsi="Times New Roman"/>
          <w:b w:val="false"/>
          <w:i w:val="false"/>
          <w:color w:val="000000"/>
          <w:sz w:val="21"/>
        </w:rPr>
        <w:t xml:space="preserve"> (Notice ARC 2058C, IAB 7/8/15)</w:t>
      </w:r>
      <w:r>
        <w:rPr>
          <w:rFonts w:ascii="Times New Roman" w:hAnsi="Times New Roman"/>
          <w:b w:val="false"/>
          <w:i w:val="false"/>
          <w:color w:val="000000"/>
          <w:sz w:val="21"/>
        </w:rPr>
        <w:t>, IAB 9/30/15, effective 11/4/15]</w:t>
      </w:r>
    </w:p>
    <w:p>
      <w:pPr>
        <w:spacing w:before="0" w:after="0"/>
        <w:ind w:left="120"/>
        <w:jc w:val="center"/>
      </w:pPr>
      <w:r>
        <w:rPr>
          <w:rFonts w:ascii="Times New Roman" w:hAnsi="Times New Roman"/>
          <w:b w:val="false"/>
          <w:i w:val="false"/>
          <w:color w:val="000000"/>
          <w:sz w:val="21"/>
        </w:rPr>
        <w:t>[Filed ARC 3422C</w:t>
      </w:r>
      <w:r>
        <w:rPr>
          <w:rFonts w:ascii="Times New Roman" w:hAnsi="Times New Roman"/>
          <w:b w:val="false"/>
          <w:i w:val="false"/>
          <w:color w:val="000000"/>
          <w:sz w:val="21"/>
        </w:rPr>
        <w:t xml:space="preserve"> (Notice ARC 3224C, IAB 8/2/17)</w:t>
      </w:r>
      <w:r>
        <w:rPr>
          <w:rFonts w:ascii="Times New Roman" w:hAnsi="Times New Roman"/>
          <w:b w:val="false"/>
          <w:i w:val="false"/>
          <w:color w:val="000000"/>
          <w:sz w:val="21"/>
        </w:rPr>
        <w:t>, IAB 10/25/17, effective 11/29/17]</w:t>
      </w:r>
    </w:p>
    <w:p>
      <w:pPr>
        <w:spacing w:before="0" w:after="0"/>
        <w:ind w:left="120"/>
        <w:jc w:val="center"/>
      </w:pPr>
      <w:r>
        <w:rPr>
          <w:rFonts w:ascii="Times New Roman" w:hAnsi="Times New Roman"/>
          <w:b w:val="false"/>
          <w:i w:val="false"/>
          <w:color w:val="000000"/>
          <w:sz w:val="21"/>
        </w:rPr>
        <w:t>[Filed ARC 4243C</w:t>
      </w:r>
      <w:r>
        <w:rPr>
          <w:rFonts w:ascii="Times New Roman" w:hAnsi="Times New Roman"/>
          <w:b w:val="false"/>
          <w:i w:val="false"/>
          <w:color w:val="000000"/>
          <w:sz w:val="21"/>
        </w:rPr>
        <w:t xml:space="preserve"> (Notice ARC 3988C, IAB 9/12/18)</w:t>
      </w:r>
      <w:r>
        <w:rPr>
          <w:rFonts w:ascii="Times New Roman" w:hAnsi="Times New Roman"/>
          <w:b w:val="false"/>
          <w:i w:val="false"/>
          <w:color w:val="000000"/>
          <w:sz w:val="21"/>
        </w:rPr>
        <w:t>, IAB 1/16/19, effective 2/20/19]</w:t>
      </w:r>
    </w:p>
    <w:p>
      <w:pPr>
        <w:spacing w:before="0" w:after="0"/>
        <w:ind w:left="120"/>
        <w:jc w:val="center"/>
      </w:pPr>
      <w:r>
        <w:rPr>
          <w:rFonts w:ascii="Times New Roman" w:hAnsi="Times New Roman"/>
          <w:b w:val="false"/>
          <w:i w:val="false"/>
          <w:color w:val="000000"/>
          <w:sz w:val="21"/>
        </w:rPr>
        <w:t>[Filed ARC 5562C</w:t>
      </w:r>
      <w:r>
        <w:rPr>
          <w:rFonts w:ascii="Times New Roman" w:hAnsi="Times New Roman"/>
          <w:b w:val="false"/>
          <w:i w:val="false"/>
          <w:color w:val="000000"/>
          <w:sz w:val="21"/>
        </w:rPr>
        <w:t xml:space="preserve"> (Notice ARC 5357C, IAB 12/30/20)</w:t>
      </w:r>
      <w:r>
        <w:rPr>
          <w:rFonts w:ascii="Times New Roman" w:hAnsi="Times New Roman"/>
          <w:b w:val="false"/>
          <w:i w:val="false"/>
          <w:color w:val="000000"/>
          <w:sz w:val="21"/>
        </w:rPr>
        <w:t>, IAB 4/21/21, effective 5/26/21]</w:t>
      </w:r>
    </w:p>
    <w:p>
      <w:pPr>
        <w:spacing w:before="0" w:after="0"/>
        <w:ind w:left="120"/>
        <w:jc w:val="center"/>
      </w:pPr>
      <w:r>
        <w:rPr>
          <w:rFonts w:ascii="Times New Roman" w:hAnsi="Times New Roman"/>
          <w:b w:val="false"/>
          <w:i w:val="false"/>
          <w:color w:val="000000"/>
          <w:sz w:val="21"/>
        </w:rPr>
        <w:t>[Filed ARC 7684C</w:t>
      </w:r>
      <w:r>
        <w:rPr>
          <w:rFonts w:ascii="Times New Roman" w:hAnsi="Times New Roman"/>
          <w:b w:val="false"/>
          <w:i w:val="false"/>
          <w:color w:val="000000"/>
          <w:sz w:val="21"/>
        </w:rPr>
        <w:t xml:space="preserve"> (Notice ARC 7391C, IAB 1/10/24)</w:t>
      </w:r>
      <w:r>
        <w:rPr>
          <w:rFonts w:ascii="Times New Roman" w:hAnsi="Times New Roman"/>
          <w:b w:val="false"/>
          <w:i w:val="false"/>
          <w:color w:val="000000"/>
          <w:sz w:val="21"/>
        </w:rPr>
        <w:t>, IAB 3/6/24, effective 4/10/24]</w:t>
      </w:r>
    </w:p>
    <w:p>
      <w:pPr>
        <w:spacing w:before="0" w:after="0"/>
        <w:ind w:left="120"/>
        <w:jc w:val="center"/>
      </w:pPr>
      <w:r>
        <w:rPr>
          <w:rFonts w:ascii="Times New Roman" w:hAnsi="Times New Roman"/>
          <w:b w:val="false"/>
          <w:i w:val="false"/>
          <w:color w:val="000000"/>
          <w:sz w:val="21"/>
        </w:rPr>
        <w:t>[Editorial change: IAC Supplement 6/10/26]</w:t>
      </w:r>
    </w:p>
    <w:sectPr>
      <w:footerReference r:id="rId22"/>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542.8.pdf" Type="http://schemas.openxmlformats.org/officeDocument/2006/relationships/hyperlink" Id="rId5"/>
    <Relationship TargetMode="External" Target="https://www.legis.iowa.gov/docs/ico/chapter/542.8.pdf" Type="http://schemas.openxmlformats.org/officeDocument/2006/relationships/hyperlink" Id="rId6"/>
    <Relationship TargetMode="External" Target="https://www.legis.iowa.gov/docs/ico/chapter/542.6.pdf" Type="http://schemas.openxmlformats.org/officeDocument/2006/relationships/hyperlink" Id="rId7"/>
    <Relationship TargetMode="External" Target="https://www.legis.iowa.gov/docs/ico/chapter/542.19.pdf" Type="http://schemas.openxmlformats.org/officeDocument/2006/relationships/hyperlink" Id="rId8"/>
    <Relationship TargetMode="External" Target="https://www.legis.iowa.gov/docs/ico/chapter/542.20.pdf" Type="http://schemas.openxmlformats.org/officeDocument/2006/relationships/hyperlink" Id="rId9"/>
    <Relationship TargetMode="External" Target="https://www.legis.iowa.gov/docs/ico/chapter/542.8.pdf" Type="http://schemas.openxmlformats.org/officeDocument/2006/relationships/hyperlink" Id="rId10"/>
    <Relationship TargetMode="External" Target="https://www.legis.iowa.gov/docs/ico/chapter/542.8.pdf" Type="http://schemas.openxmlformats.org/officeDocument/2006/relationships/hyperlink" Id="rId11"/>
    <Relationship TargetMode="External" Target="https://www.legis.iowa.gov/docs/iac/rule/481.1028.3.pdf" Type="http://schemas.openxmlformats.org/officeDocument/2006/relationships/hyperlink" Id="rId12"/>
    <Relationship TargetMode="External" Target="https://www.legis.iowa.gov/docs/iac/rule/481.1028.3.pdf" Type="http://schemas.openxmlformats.org/officeDocument/2006/relationships/hyperlink" Id="rId13"/>
    <Relationship TargetMode="External" Target="https://www.legis.iowa.gov/docs/iac/rule/481.1032.1.pdf" Type="http://schemas.openxmlformats.org/officeDocument/2006/relationships/hyperlink" Id="rId14"/>
    <Relationship TargetMode="External" Target="https://www.legis.iowa.gov/docs/ico/chapter/542.8.pdf" Type="http://schemas.openxmlformats.org/officeDocument/2006/relationships/hyperlink" Id="rId15"/>
    <Relationship TargetMode="External" Target="https://www.legis.iowa.gov/docs/ico/chapter/542.8.pdf" Type="http://schemas.openxmlformats.org/officeDocument/2006/relationships/hyperlink" Id="rId16"/>
    <Relationship TargetMode="External" Target="https://www.legis.iowa.gov/docs/ico/chapter/542.7.pdf" Type="http://schemas.openxmlformats.org/officeDocument/2006/relationships/hyperlink" Id="rId17"/>
    <Relationship TargetMode="External" Target="https://www.legis.iowa.gov/docs/ico/chapter/17A.pdf" Type="http://schemas.openxmlformats.org/officeDocument/2006/relationships/hyperlink" Id="rId18"/>
    <Relationship TargetMode="External" Target="https://www.legis.iowa.gov/docs/ico/chapter/272C.pdf" Type="http://schemas.openxmlformats.org/officeDocument/2006/relationships/hyperlink" Id="rId19"/>
    <Relationship TargetMode="External" Target="https://www.legis.iowa.gov/docs/ico/chapter/542.pdf" Type="http://schemas.openxmlformats.org/officeDocument/2006/relationships/hyperlink" Id="rId20"/>
    <Relationship TargetMode="External" Target="https://www.legis.iowa.gov/docs/ico/chapter/10A.506.pdf" Type="http://schemas.openxmlformats.org/officeDocument/2006/relationships/hyperlink" Id="rId21"/>
    <Relationship Target="footer.xml" Type="http://schemas.openxmlformats.org/officeDocument/2006/relationships/footer" Id="rId22"/>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