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1026</w:t>
      </w:r>
    </w:p>
    <w:p>
      <w:pPr>
        <w:spacing w:before="0" w:after="0"/>
        <w:ind w:left="120"/>
        <w:jc w:val="center"/>
      </w:pPr>
      <w:r>
        <w:rPr>
          <w:rFonts w:ascii="Times New Roman" w:hAnsi="Times New Roman"/>
          <w:b w:val="false"/>
          <w:i w:val="false"/>
          <w:color w:val="000000"/>
          <w:sz w:val="21"/>
        </w:rPr>
        <w:t>ATTEST AND COMPILATION SERVICES</w:t>
      </w:r>
    </w:p>
    <w:p>
      <w:pPr>
        <w:spacing w:before="0" w:after="0"/>
        <w:ind w:left="120"/>
        <w:jc w:val="center"/>
      </w:pPr>
      <w:r>
        <w:rPr>
          <w:rFonts w:ascii="Times New Roman" w:hAnsi="Times New Roman"/>
          <w:b w:val="false"/>
          <w:i w:val="false"/>
          <w:color w:val="000000"/>
          <w:sz w:val="14"/>
        </w:rPr>
        <w:t>[Prior to 6/10/26, see Accountancy Examining Board[193A]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481—1026.1</w:t>
      </w:r>
      <w:r>
        <w:rPr>
          <w:rFonts w:ascii="Times New Roman" w:hAnsi="Times New Roman"/>
          <w:b/>
          <w:i w:val="false"/>
          <w:color w:val="000000"/>
          <w:sz w:val="22"/>
        </w:rPr>
        <w:t xml:space="preserve">(542) </w:t>
      </w:r>
      <w:r>
        <w:rPr>
          <w:rFonts w:ascii="Times New Roman" w:hAnsi="Times New Roman"/>
          <w:b/>
          <w:i w:val="false"/>
          <w:color w:val="000000"/>
          <w:sz w:val="22"/>
        </w:rPr>
        <w:t xml:space="preserve">Who may perform attest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a CPA may perform audit, review, or other attest services as defined in Iowa Code section </w:t>
      </w:r>
      <w:hyperlink r:id="rId5">
        <w:r>
          <w:rPr>
            <w:rStyle w:val="Hyperlink"/>
            <w:rFonts w:ascii="Times New Roman" w:hAnsi="Times New Roman"/>
            <w:b w:val="false"/>
            <w:i w:val="false"/>
            <w:color w:val="000000"/>
            <w:sz w:val="22"/>
          </w:rPr>
          <w:t>542.3(1)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1026.1(2)</w:t>
      </w:r>
      <w:r>
        <w:rPr>
          <w:rFonts w:ascii="Times New Roman" w:hAnsi="Times New Roman"/>
          <w:b w:val="false"/>
          <w:i w:val="false"/>
          <w:color w:val="000000"/>
          <w:sz w:val="22"/>
        </w:rPr>
        <w:t> </w:t>
      </w:r>
      <w:r>
        <w:rPr>
          <w:rFonts w:ascii="Times New Roman" w:hAnsi="Times New Roman"/>
          <w:b w:val="false"/>
          <w:i w:val="false"/>
          <w:color w:val="000000"/>
          <w:sz w:val="22"/>
        </w:rPr>
        <w:t xml:space="preserve">Only an actively licensed attest-certified Iowa CPA or an out-of-state licensee exercising a practice privilege under Iowa Code section </w:t>
      </w:r>
      <w:hyperlink r:id="rId6">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perform attest services in Iowa or for a client with a home office in Iowa. CPAs are cautioned, however, that a government body or a client may obligate that an individual be licensed in Iowa as a condition of performing attest services in Iowa or for a client with a home office in Iowa, whether or not the individual may otherwise satisfy the conditions for a practice privilege. Iowa licensure as a certified public accountant is a precondition, for example, to perform certain audit services described in Iowa Code chapter </w:t>
      </w:r>
      <w:hyperlink r:id="rId7">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1026.1(3)</w:t>
      </w:r>
      <w:r>
        <w:rPr>
          <w:rFonts w:ascii="Times New Roman" w:hAnsi="Times New Roman"/>
          <w:b w:val="false"/>
          <w:i w:val="false"/>
          <w:color w:val="000000"/>
          <w:sz w:val="22"/>
        </w:rPr>
        <w:t> </w:t>
      </w:r>
      <w:r>
        <w:rPr>
          <w:rFonts w:ascii="Times New Roman" w:hAnsi="Times New Roman"/>
          <w:b w:val="false"/>
          <w:i w:val="false"/>
          <w:color w:val="000000"/>
          <w:sz w:val="22"/>
        </w:rPr>
        <w:t xml:space="preserve">CPAs performing attest services, whether the CPAs are certified in Iowa or exercising a practice privilege, may only do so in a CPA firm that holds a permit to practice pursuant to Iowa Code section </w:t>
      </w:r>
      <w:hyperlink r:id="rId8">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in an out-of-state CPA firm exercising a practice privilege in compliance with Iowa Code section </w:t>
      </w:r>
      <w:hyperlink r:id="rId9">
        <w:r>
          <w:rPr>
            <w:rStyle w:val="Hyperlink"/>
            <w:rFonts w:ascii="Times New Roman" w:hAnsi="Times New Roman"/>
            <w:b w:val="false"/>
            <w:i w:val="false"/>
            <w:color w:val="000000"/>
            <w:sz w:val="22"/>
          </w:rPr>
          <w:t>542.20(5)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542.20(6)</w:t>
        </w:r>
      </w:hyperlink>
      <w:r>
        <w:rPr>
          <w:rFonts w:ascii="Times New Roman" w:hAnsi="Times New Roman"/>
          <w:b w:val="false"/>
          <w:i w:val="false"/>
          <w:color w:val="000000"/>
          <w:sz w:val="22"/>
        </w:rPr>
        <w:t xml:space="preserve"> and associated rules and the peer review and ownership provisions of Iowa Code section </w:t>
      </w:r>
      <w:hyperlink r:id="rId11">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1026.1(4)</w:t>
      </w:r>
      <w:r>
        <w:rPr>
          <w:rFonts w:ascii="Times New Roman" w:hAnsi="Times New Roman"/>
          <w:b w:val="false"/>
          <w:i w:val="false"/>
          <w:color w:val="000000"/>
          <w:sz w:val="22"/>
        </w:rPr>
        <w:t> </w:t>
      </w:r>
      <w:r>
        <w:rPr>
          <w:rFonts w:ascii="Times New Roman" w:hAnsi="Times New Roman"/>
          <w:b w:val="false"/>
          <w:i w:val="false"/>
          <w:color w:val="000000"/>
          <w:sz w:val="22"/>
        </w:rPr>
        <w:t>CPAs who are responsible for supervising attest services for a CPA firm or who sign or authorize someone to sign the accountant’s report on behalf of a CPA firm are obligated to satisfy the experience or competency obligations established by nationally recognized professional standards that are applicable to the attest services performed.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481—1026.2</w:t>
      </w:r>
      <w:r>
        <w:rPr>
          <w:rFonts w:ascii="Times New Roman" w:hAnsi="Times New Roman"/>
          <w:b/>
          <w:i w:val="false"/>
          <w:color w:val="000000"/>
          <w:sz w:val="22"/>
        </w:rPr>
        <w:t xml:space="preserve">(542) </w:t>
      </w:r>
      <w:r>
        <w:rPr>
          <w:rFonts w:ascii="Times New Roman" w:hAnsi="Times New Roman"/>
          <w:b/>
          <w:i w:val="false"/>
          <w:color w:val="000000"/>
          <w:sz w:val="22"/>
        </w:rPr>
        <w:t xml:space="preserve">Necessary attest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1026.2(1)</w:t>
      </w:r>
      <w:r>
        <w:rPr>
          <w:rFonts w:ascii="Times New Roman" w:hAnsi="Times New Roman"/>
          <w:b w:val="false"/>
          <w:i w:val="false"/>
          <w:color w:val="000000"/>
          <w:sz w:val="22"/>
        </w:rPr>
        <w:t> </w:t>
      </w:r>
      <w:r>
        <w:rPr>
          <w:rFonts w:ascii="Times New Roman" w:hAnsi="Times New Roman"/>
          <w:b w:val="false"/>
          <w:i w:val="false"/>
          <w:color w:val="000000"/>
          <w:sz w:val="22"/>
        </w:rPr>
        <w:t>A CPA who is responsible for supervising attest services or who signs or authorizes someone to sign the accountant’s report on behalf of a firm is obligated to have two years of full-time or part-time equivalent experience that extends over a period of no less than two years and includes no fewer than 4,000 hours, including at least 2,000 hours providing attest services under the supervision of one or more CPAs responsible for supervising attest services on behalf of a CPA firm that holds a permit to practice in Iowa or an equivalent form of CPA firm licensure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1026.2(2)</w:t>
      </w:r>
      <w:r>
        <w:rPr>
          <w:rFonts w:ascii="Times New Roman" w:hAnsi="Times New Roman"/>
          <w:b w:val="false"/>
          <w:i w:val="false"/>
          <w:color w:val="000000"/>
          <w:sz w:val="22"/>
        </w:rPr>
        <w:t> </w:t>
      </w:r>
      <w:r>
        <w:rPr>
          <w:rFonts w:ascii="Times New Roman" w:hAnsi="Times New Roman"/>
          <w:b w:val="false"/>
          <w:i w:val="false"/>
          <w:color w:val="000000"/>
          <w:sz w:val="22"/>
        </w:rPr>
        <w:t>Experience needs to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Experience in applying a variety of attest procedures and techniques to the usual and customary financial transactions recorded in accounting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Experience in the preparation of attest working papers covering the examination of the accounts usually found in accounting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Experience in the planning of the program of attest work, including the selection of the procedures to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Experience in the preparation of written explanations and comments on the findings of the examinations and on the content of the accounting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Experience in the preparation and analysis of reports and financial statements together with explanations and notes thereon.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1026.2(3)</w:t>
      </w:r>
      <w:r>
        <w:rPr>
          <w:rFonts w:ascii="Times New Roman" w:hAnsi="Times New Roman"/>
          <w:b w:val="false"/>
          <w:i w:val="false"/>
          <w:color w:val="000000"/>
          <w:sz w:val="22"/>
        </w:rPr>
        <w:t> </w:t>
      </w:r>
      <w:r>
        <w:rPr>
          <w:rFonts w:ascii="Times New Roman" w:hAnsi="Times New Roman"/>
          <w:b w:val="false"/>
          <w:i w:val="false"/>
          <w:color w:val="000000"/>
          <w:sz w:val="22"/>
        </w:rPr>
        <w:t>Attest experience is verified by the applicant and by a CPA who supervised the applicant or, if a supervising CPA is unavailable, by a CPA or CPA firm with sufficient factual documentation to verify the applicant’s attest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1026.2(4)</w:t>
      </w:r>
      <w:r>
        <w:rPr>
          <w:rFonts w:ascii="Times New Roman" w:hAnsi="Times New Roman"/>
          <w:b w:val="false"/>
          <w:i w:val="false"/>
          <w:color w:val="000000"/>
          <w:sz w:val="22"/>
        </w:rPr>
        <w:t> </w:t>
      </w:r>
      <w:r>
        <w:rPr>
          <w:rFonts w:ascii="Times New Roman" w:hAnsi="Times New Roman"/>
          <w:b w:val="false"/>
          <w:i w:val="false"/>
          <w:color w:val="000000"/>
          <w:sz w:val="22"/>
        </w:rPr>
        <w:t>Any applicant or CPA who has been requested to submit to the board evidence of an applicant’s attest experience and has refused to do so will, upon request by the board, explain in writing or in person the basis for the refusal. The board may obligate any applicant or CPA who furnished the evidence of an applicant’s experience to substantiate the information provided. An applicant may be obligated to appear before the board to supplement or verify evidence of experience. The board may inspect documentation relating to an applicant’s claimed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481—1026.3</w:t>
      </w:r>
      <w:r>
        <w:rPr>
          <w:rFonts w:ascii="Times New Roman" w:hAnsi="Times New Roman"/>
          <w:b/>
          <w:i w:val="false"/>
          <w:color w:val="000000"/>
          <w:sz w:val="22"/>
        </w:rPr>
        <w:t xml:space="preserve">(542) </w:t>
      </w:r>
      <w:r>
        <w:rPr>
          <w:rFonts w:ascii="Times New Roman" w:hAnsi="Times New Roman"/>
          <w:b/>
          <w:i w:val="false"/>
          <w:color w:val="000000"/>
          <w:sz w:val="22"/>
        </w:rPr>
        <w:t xml:space="preserve">Attest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1026.3(1)</w:t>
      </w:r>
      <w:r>
        <w:rPr>
          <w:rFonts w:ascii="Times New Roman" w:hAnsi="Times New Roman"/>
          <w:b w:val="false"/>
          <w:i w:val="false"/>
          <w:color w:val="000000"/>
          <w:sz w:val="22"/>
        </w:rPr>
        <w:t> </w:t>
      </w:r>
      <w:r>
        <w:rPr>
          <w:rFonts w:ascii="Times New Roman" w:hAnsi="Times New Roman"/>
          <w:b w:val="false"/>
          <w:i w:val="false"/>
          <w:color w:val="000000"/>
          <w:sz w:val="22"/>
        </w:rPr>
        <w:t xml:space="preserve">Attest qualification is necessary before a CPA may perform attest services in Iowa or for a client with a home office in Iowa. “Attest qualification” or “attest qualified” means that the CPA has satisfied the experience obligations of rule </w:t>
      </w:r>
      <w:hyperlink r:id="rId12">
        <w:r>
          <w:rPr>
            <w:rStyle w:val="Hyperlink"/>
            <w:rFonts w:ascii="Times New Roman" w:hAnsi="Times New Roman"/>
            <w:b w:val="false"/>
            <w:i w:val="false"/>
            <w:color w:val="000000"/>
            <w:sz w:val="22"/>
          </w:rPr>
          <w:t>481—1026.2</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1026.3(2)</w:t>
      </w:r>
      <w:r>
        <w:rPr>
          <w:rFonts w:ascii="Times New Roman" w:hAnsi="Times New Roman"/>
          <w:b w:val="false"/>
          <w:i w:val="false"/>
          <w:color w:val="000000"/>
          <w:sz w:val="22"/>
        </w:rPr>
        <w:t> </w:t>
      </w:r>
      <w:r>
        <w:rPr>
          <w:rFonts w:ascii="Times New Roman" w:hAnsi="Times New Roman"/>
          <w:b w:val="false"/>
          <w:i w:val="false"/>
          <w:color w:val="000000"/>
          <w:sz w:val="22"/>
        </w:rPr>
        <w:t>All CPAs who held an individual permit to practice in Iowa at any point prior to July 1, 2002, are deemed to be attest qualified. Under Iowa law prior to July 1, 2002, CPAs were only issued an individual permit to practice if they verified their qualification to perform attest services. Individual permits to practice were discontinued under Iowa law effective July 1, 2002.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1026.3(3)</w:t>
      </w:r>
      <w:r>
        <w:rPr>
          <w:rFonts w:ascii="Times New Roman" w:hAnsi="Times New Roman"/>
          <w:b w:val="false"/>
          <w:i w:val="false"/>
          <w:color w:val="000000"/>
          <w:sz w:val="22"/>
        </w:rPr>
        <w:t> </w:t>
      </w:r>
      <w:r>
        <w:rPr>
          <w:rFonts w:ascii="Times New Roman" w:hAnsi="Times New Roman"/>
          <w:b w:val="false"/>
          <w:i w:val="false"/>
          <w:color w:val="000000"/>
          <w:sz w:val="22"/>
        </w:rPr>
        <w:t>CPAs who did not hold a permit to practice prior to July 1, 2002, may attain or establish attest qualification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may apply for attest qualification when initially applying for a certificate as an Iowa CPA under Iowa Code section </w:t>
      </w:r>
      <w:hyperlink r:id="rId13">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when applying for reciprocal Iowa certification under Iowa Code section </w:t>
      </w:r>
      <w:hyperlink r:id="rId14">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any other applicable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CPA certificate holders may apply for attest qualification at any time at which they are qualified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CPAs performing attest services while exercising a practice privilege under Iowa Code section </w:t>
      </w:r>
      <w:hyperlink r:id="rId15">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do not have to individually apply to the board for attest qualification. However,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CPAs perform attest services in an Iowa CPA firm, the Iowa CPA firm will affirm when applying for an initial or renewal firm permit to practice that the CPAs who supervise attest services for the firm or who sign or authorize someone to sign the accountant’s report on behalf of the firm, as such attest services are or will in the following year be performed in Iowa or for a client with a home office in Iowa, have been qualified to perform attest services in Iowa or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CPAs perform attest services through an out-of-state CPA firm exercising a practice privilege, the out-of-state CPA firm will affirm upon request from the board that the CPAs who supervise attest services for the firm or who sign or authorize someone to sign the accountant’s report on behalf of the firm, as such attest services are or will in the following year be performed in Iowa or for a client with a home office in Iowa, have been qualified to perform attest services in Iowa or another jurisdiction.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481—1026.4</w:t>
      </w:r>
      <w:r>
        <w:rPr>
          <w:rFonts w:ascii="Times New Roman" w:hAnsi="Times New Roman"/>
          <w:b/>
          <w:i w:val="false"/>
          <w:color w:val="000000"/>
          <w:sz w:val="22"/>
        </w:rPr>
        <w:t xml:space="preserve">(542) </w:t>
      </w:r>
      <w:r>
        <w:rPr>
          <w:rFonts w:ascii="Times New Roman" w:hAnsi="Times New Roman"/>
          <w:b/>
          <w:i w:val="false"/>
          <w:color w:val="000000"/>
          <w:sz w:val="22"/>
        </w:rPr>
        <w:t xml:space="preserve">Compilation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1026.4(1)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a CPA licensed by the board under Iowa Code section </w:t>
      </w:r>
      <w:hyperlink r:id="rId16">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any other applicable law or rule; an LPA licensed by the board under Iowa Code section </w:t>
      </w:r>
      <w:hyperlink r:id="rId18">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any other applicable law or rule; or a person exercising a practice privilege under Iowa Code section </w:t>
      </w:r>
      <w:hyperlink r:id="rId1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issue a report in standard form upon a compilation of financial information or otherwise provide compilation services in Iowa or for a client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1026.4(2)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described in subrule </w:t>
      </w:r>
      <w:hyperlink r:id="rId20">
        <w:r>
          <w:rPr>
            <w:rStyle w:val="Hyperlink"/>
            <w:rFonts w:ascii="Times New Roman" w:hAnsi="Times New Roman"/>
            <w:b w:val="false"/>
            <w:i w:val="false"/>
            <w:color w:val="000000"/>
            <w:sz w:val="22"/>
          </w:rPr>
          <w:t>1026.4(1)</w:t>
        </w:r>
      </w:hyperlink>
      <w:r>
        <w:rPr>
          <w:rFonts w:ascii="Times New Roman" w:hAnsi="Times New Roman"/>
          <w:b w:val="false"/>
          <w:i w:val="false"/>
          <w:color w:val="000000"/>
          <w:sz w:val="22"/>
        </w:rPr>
        <w:t xml:space="preserve"> may perform compilation services through a CPA firm that holds a permit to practice under Iowa Code section </w:t>
      </w:r>
      <w:hyperlink r:id="rId21">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an LPA firm that holds a permit to practice under Iowa Code section </w:t>
      </w:r>
      <w:hyperlink r:id="rId22">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a CPA firm exercising a practice privilege under Iowa Code section </w:t>
      </w:r>
      <w:hyperlink r:id="rId23">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or, if both the individual and business comply with Iowa Code section </w:t>
      </w:r>
      <w:hyperlink r:id="rId24">
        <w:r>
          <w:rPr>
            <w:rStyle w:val="Hyperlink"/>
            <w:rFonts w:ascii="Times New Roman" w:hAnsi="Times New Roman"/>
            <w:b w:val="false"/>
            <w:i w:val="false"/>
            <w:color w:val="000000"/>
            <w:sz w:val="22"/>
          </w:rPr>
          <w:t>542.13(13)</w:t>
        </w:r>
      </w:hyperlink>
      <w:r>
        <w:rPr>
          <w:rFonts w:ascii="Times New Roman" w:hAnsi="Times New Roman"/>
          <w:b w:val="false"/>
          <w:i w:val="false"/>
          <w:color w:val="000000"/>
          <w:sz w:val="22"/>
        </w:rPr>
        <w:t>, through any other form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1026.4(3)</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individuals described in subrule </w:t>
      </w:r>
      <w:hyperlink r:id="rId25">
        <w:r>
          <w:rPr>
            <w:rStyle w:val="Hyperlink"/>
            <w:rFonts w:ascii="Times New Roman" w:hAnsi="Times New Roman"/>
            <w:b w:val="false"/>
            <w:i w:val="false"/>
            <w:color w:val="000000"/>
            <w:sz w:val="22"/>
          </w:rPr>
          <w:t>1026.4(1)</w:t>
        </w:r>
      </w:hyperlink>
      <w:r>
        <w:rPr>
          <w:rFonts w:ascii="Times New Roman" w:hAnsi="Times New Roman"/>
          <w:b w:val="false"/>
          <w:i w:val="false"/>
          <w:color w:val="000000"/>
          <w:sz w:val="22"/>
        </w:rPr>
        <w:t xml:space="preserve"> who are responsible for supervising compilation services or who will sign or authorize someone to sign the accountant’s compilation report on financial statements, as such compilation services will be performed in Iowa or for a client with a home office in Iowa, are obligated to comply with the nationally recognized professional standards that are applicable to compilation services, including SSARS.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1026.4(4)</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individuals described in subrule </w:t>
      </w:r>
      <w:hyperlink r:id="rId26">
        <w:r>
          <w:rPr>
            <w:rStyle w:val="Hyperlink"/>
            <w:rFonts w:ascii="Times New Roman" w:hAnsi="Times New Roman"/>
            <w:b w:val="false"/>
            <w:i w:val="false"/>
            <w:color w:val="000000"/>
            <w:sz w:val="22"/>
          </w:rPr>
          <w:t>1026.4(1)</w:t>
        </w:r>
      </w:hyperlink>
      <w:r>
        <w:rPr>
          <w:rFonts w:ascii="Times New Roman" w:hAnsi="Times New Roman"/>
          <w:b w:val="false"/>
          <w:i w:val="false"/>
          <w:color w:val="000000"/>
          <w:sz w:val="22"/>
        </w:rPr>
        <w:t xml:space="preserve"> will satisfy peer review obligations individually or through the peer review of a CPA or LPA firm holding a permit to practice pursuant to Iowa Code section </w:t>
      </w:r>
      <w:hyperlink r:id="rId27">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28">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a CPA firm exercising a practice privilege under Iowa Code section </w:t>
      </w:r>
      <w:hyperlink r:id="rId2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0413C</w:t>
      </w:r>
      <w:r>
        <w:rPr>
          <w:rFonts w:ascii="Times New Roman" w:hAnsi="Times New Roman"/>
          <w:b w:val="false"/>
          <w:i w:val="false"/>
          <w:color w:val="000000"/>
          <w:sz w:val="21"/>
        </w:rPr>
        <w:t xml:space="preserve"> (Notice ARC 0254C,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7682C</w:t>
      </w:r>
      <w:r>
        <w:rPr>
          <w:rFonts w:ascii="Times New Roman" w:hAnsi="Times New Roman"/>
          <w:b w:val="false"/>
          <w:i w:val="false"/>
          <w:color w:val="000000"/>
          <w:sz w:val="21"/>
        </w:rPr>
        <w:t xml:space="preserve"> (Notice ARC 7389C,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3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3.pdf" Type="http://schemas.openxmlformats.org/officeDocument/2006/relationships/hyperlink" Id="rId5"/>
    <Relationship TargetMode="External" Target="https://www.legis.iowa.gov/docs/ico/chapter/542.20.pdf" Type="http://schemas.openxmlformats.org/officeDocument/2006/relationships/hyperlink" Id="rId6"/>
    <Relationship TargetMode="External" Target="https://www.legis.iowa.gov/docs/ico/chapter/11.pdf" Type="http://schemas.openxmlformats.org/officeDocument/2006/relationships/hyperlink" Id="rId7"/>
    <Relationship TargetMode="External" Target="https://www.legis.iowa.gov/docs/ico/chapter/542.7.pdf" Type="http://schemas.openxmlformats.org/officeDocument/2006/relationships/hyperlink" Id="rId8"/>
    <Relationship TargetMode="External" Target="https://www.legis.iowa.gov/docs/ico/chapter/542.20.pdf" Type="http://schemas.openxmlformats.org/officeDocument/2006/relationships/hyperlink" Id="rId9"/>
    <Relationship TargetMode="External" Target="https://www.legis.iowa.gov/docs/ico/chapter/542.20.pdf" Type="http://schemas.openxmlformats.org/officeDocument/2006/relationships/hyperlink" Id="rId10"/>
    <Relationship TargetMode="External" Target="https://www.legis.iowa.gov/docs/ico/chapter/542.7.pdf" Type="http://schemas.openxmlformats.org/officeDocument/2006/relationships/hyperlink" Id="rId11"/>
    <Relationship TargetMode="External" Target="https://www.legis.iowa.gov/docs/iac/rule/481.1026.2.pdf" Type="http://schemas.openxmlformats.org/officeDocument/2006/relationships/hyperlink" Id="rId12"/>
    <Relationship TargetMode="External" Target="https://www.legis.iowa.gov/docs/ico/chapter/542.6.pdf" Type="http://schemas.openxmlformats.org/officeDocument/2006/relationships/hyperlink" Id="rId13"/>
    <Relationship TargetMode="External" Target="https://www.legis.iowa.gov/docs/ico/chapter/542.19.pdf" Type="http://schemas.openxmlformats.org/officeDocument/2006/relationships/hyperlink" Id="rId14"/>
    <Relationship TargetMode="External" Target="https://www.legis.iowa.gov/docs/ico/chapter/542.20.pdf" Type="http://schemas.openxmlformats.org/officeDocument/2006/relationships/hyperlink" Id="rId15"/>
    <Relationship TargetMode="External" Target="https://www.legis.iowa.gov/docs/ico/chapter/542.6.pdf" Type="http://schemas.openxmlformats.org/officeDocument/2006/relationships/hyperlink" Id="rId16"/>
    <Relationship TargetMode="External" Target="https://www.legis.iowa.gov/docs/ico/chapter/542.19.pdf" Type="http://schemas.openxmlformats.org/officeDocument/2006/relationships/hyperlink" Id="rId17"/>
    <Relationship TargetMode="External" Target="https://www.legis.iowa.gov/docs/ico/chapter/542.8.pdf" Type="http://schemas.openxmlformats.org/officeDocument/2006/relationships/hyperlink" Id="rId18"/>
    <Relationship TargetMode="External" Target="https://www.legis.iowa.gov/docs/ico/chapter/542.20.pdf" Type="http://schemas.openxmlformats.org/officeDocument/2006/relationships/hyperlink" Id="rId19"/>
    <Relationship TargetMode="External" Target="https://www.legis.iowa.gov/docs/iac/rule/481.1026.4.pdf" Type="http://schemas.openxmlformats.org/officeDocument/2006/relationships/hyperlink" Id="rId20"/>
    <Relationship TargetMode="External" Target="https://www.legis.iowa.gov/docs/ico/chapter/542.7.pdf" Type="http://schemas.openxmlformats.org/officeDocument/2006/relationships/hyperlink" Id="rId21"/>
    <Relationship TargetMode="External" Target="https://www.legis.iowa.gov/docs/ico/chapter/542.8.pdf" Type="http://schemas.openxmlformats.org/officeDocument/2006/relationships/hyperlink" Id="rId22"/>
    <Relationship TargetMode="External" Target="https://www.legis.iowa.gov/docs/ico/chapter/542.20.pdf" Type="http://schemas.openxmlformats.org/officeDocument/2006/relationships/hyperlink" Id="rId23"/>
    <Relationship TargetMode="External" Target="https://www.legis.iowa.gov/docs/ico/chapter/542.13.pdf" Type="http://schemas.openxmlformats.org/officeDocument/2006/relationships/hyperlink" Id="rId24"/>
    <Relationship TargetMode="External" Target="https://www.legis.iowa.gov/docs/iac/rule/481.1026.4.pdf" Type="http://schemas.openxmlformats.org/officeDocument/2006/relationships/hyperlink" Id="rId25"/>
    <Relationship TargetMode="External" Target="https://www.legis.iowa.gov/docs/iac/rule/193A.1026.4.pdf" Type="http://schemas.openxmlformats.org/officeDocument/2006/relationships/hyperlink" Id="rId26"/>
    <Relationship TargetMode="External" Target="https://www.legis.iowa.gov/docs/ico/chapter/542.7.pdf" Type="http://schemas.openxmlformats.org/officeDocument/2006/relationships/hyperlink" Id="rId27"/>
    <Relationship TargetMode="External" Target="https://www.legis.iowa.gov/docs/ico/chapter/542.8.pdf" Type="http://schemas.openxmlformats.org/officeDocument/2006/relationships/hyperlink" Id="rId28"/>
    <Relationship TargetMode="External" Target="https://www.legis.iowa.gov/docs/ico/chapter/542.20.pdf" Type="http://schemas.openxmlformats.org/officeDocument/2006/relationships/hyperlink" Id="rId29"/>
    <Relationship TargetMode="External" Target="https://www.legis.iowa.gov/docs/ico/chapter/542.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