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1005</w:t>
      </w:r>
    </w:p>
    <w:p>
      <w:pPr>
        <w:spacing w:before="0" w:after="0"/>
        <w:ind w:left="120"/>
        <w:jc w:val="center"/>
      </w:pPr>
      <w:r>
        <w:rPr>
          <w:rFonts w:ascii="Times New Roman" w:hAnsi="Times New Roman"/>
          <w:b w:val="false"/>
          <w:i w:val="false"/>
          <w:color w:val="000000"/>
          <w:sz w:val="21"/>
        </w:rPr>
        <w:t xml:space="preserve">GROUNDS FOR DISCIPLINE, DISCIPLINARY INVESTIGATIONS, </w:t>
      </w:r>
      <w:r>
        <w:br/>
      </w:r>
      <w:r>
        <w:rPr>
          <w:rFonts w:ascii="Times New Roman" w:hAnsi="Times New Roman"/>
          <w:b w:val="false"/>
          <w:i w:val="false"/>
          <w:color w:val="000000"/>
          <w:sz w:val="21"/>
        </w:rPr>
        <w:t>AND DISCIPLINARY PROCEEDINGS</w:t>
      </w:r>
    </w:p>
    <w:p>
      <w:pPr>
        <w:spacing w:before="0" w:after="0"/>
        <w:ind w:left="120"/>
        <w:jc w:val="center"/>
      </w:pPr>
      <w:r>
        <w:rPr>
          <w:rFonts w:ascii="Times New Roman" w:hAnsi="Times New Roman"/>
          <w:b w:val="false"/>
          <w:i w:val="false"/>
          <w:color w:val="000000"/>
          <w:sz w:val="14"/>
        </w:rPr>
        <w:t>[Prior to 6/24/26, see Interior Design Examining Board[193G]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481—1005.1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interior designer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violation of any of the rules of professional conduct set forth in </w:t>
      </w:r>
      <w:hyperlink r:id="rId5">
        <w:r>
          <w:rPr>
            <w:rStyle w:val="Hyperlink"/>
            <w:rFonts w:ascii="Times New Roman" w:hAnsi="Times New Roman"/>
            <w:b w:val="false"/>
            <w:i w:val="false"/>
            <w:color w:val="000000"/>
            <w:sz w:val="22"/>
          </w:rPr>
          <w:t>481—Chapter 1004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Iowa Code section </w:t>
      </w:r>
      <w:hyperlink r:id="rId6">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or 272C.9(3).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board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Continuing to practice as a registered interior designer without satisfying the continuing education requirement, absent express waiver granted by the board.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fully cooperate with a registrant disciplinary investigation or investigation against a nonregistrant, including failure to respond to a board inquiry within 30 calendar days of the date of mailing by certified mail of a written communication directed to the registrant’s last address on file at the board office.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violation of Iowa Code section </w:t>
      </w:r>
      <w:hyperlink r:id="rId7">
        <w:r>
          <w:rPr>
            <w:rStyle w:val="Hyperlink"/>
            <w:rFonts w:ascii="Times New Roman" w:hAnsi="Times New Roman"/>
            <w:b w:val="false"/>
            <w:i w:val="false"/>
            <w:color w:val="000000"/>
            <w:sz w:val="22"/>
          </w:rPr>
          <w:t>544C.9</w:t>
        </w:r>
      </w:hyperlink>
      <w:r>
        <w:rPr>
          <w:rFonts w:ascii="Times New Roman" w:hAnsi="Times New Roman"/>
          <w:b w:val="false"/>
          <w:i w:val="false"/>
          <w:color w:val="000000"/>
          <w:sz w:val="22"/>
        </w:rPr>
        <w:t xml:space="preserve"> or 272C.10.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registrant disciplinary investigation upon the board’s receipt of information suggesting that a registrant may have violated a law or rule enforced by the board which violation, if true, would constitute grounds for registrant discipline. The board may also review the publicly available work product of a registrant on a general or random basis to determine whether reasonable grounds exist to initiate disciplinary proceedings or to conduct a more specific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481—1005.4</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board office by mail, email, website portal,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board that are available from the board’s website. Written complaints should include as much of the following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filing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(registrant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8">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will not be civilly liable as a result of filing a report or complaint with the board unless such act is done with malice, nor will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registrant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board are initially screened to determine whether the allegations of the complaint fall within the board’s investigatory jurisdiction and whether the facts presented, if true, would constitute a basis for disciplinary action against a registrant. Complaints that are clearly outside the board’s jurisdiction, that clearly do not allege facts upon which disciplinary action would be based, or that are frivolous are referred to the board for closure at the next scheduled board meeting. All other complaints are referred to the board’s disciplinary committee for committee review as described in rule </w:t>
      </w:r>
      <w:hyperlink r:id="rId9">
        <w:r>
          <w:rPr>
            <w:rStyle w:val="Hyperlink"/>
            <w:rFonts w:ascii="Times New Roman" w:hAnsi="Times New Roman"/>
            <w:b w:val="false"/>
            <w:i w:val="false"/>
            <w:color w:val="000000"/>
            <w:sz w:val="22"/>
          </w:rPr>
          <w:t>481—1005.6</w:t>
        </w:r>
      </w:hyperlink>
      <w:r>
        <w:rPr>
          <w:rFonts w:ascii="Times New Roman" w:hAnsi="Times New Roman"/>
          <w:b w:val="false"/>
          <w:i w:val="false"/>
          <w:color w:val="000000"/>
          <w:sz w:val="22"/>
        </w:rPr>
        <w:t>(17A,272C,544C).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481—1005.5</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board or a complaint initiated by the board, all complaint files are tracked by a case numbering system. The board administrator maintains a case file log noting the date each case file was opened, whether disciplinary proceedings were initiated in the case, and the final disposition of the case. Once a case file number is assigned to a complaint, all persons communicating with the board regarding that complaint are encouraged to include the case file number to facilitate accurate recordkeeping and a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481—1005.6</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may annually appoint, as needed, two to three members of the board to serve on the board’s disciplinary committee to review and process disciplinary complaints. The disciplinary committee is a purely advisory body that reviews complaint files referred by the board administrator, generally supervises the investigation of complaints, and makes recommendations to the full board on the disposition of complaints. Members of the committee may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board administrator or from the full board, the committee determines whether the complaint presents facts that, if true, suggest that a registrant may have violated a law or rule enforced by the board. If the committee concludes that the complaint does not present facts that suggest such a violation or that the complaint does not otherwise constitute an appropriate basis for disciplinary action, the committee will refer the complaint to the full board with the recommendation that the complaint be closed with no further action. If the committee determines that the complaint does present a credible basis for disciplinary action, the committee may either immediately refer the complaint to the full board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peer-review committee, provide the registrant an opportunity to appear before the disciplinary committee for an informal discussion as described in rule </w:t>
      </w:r>
      <w:hyperlink r:id="rId10">
        <w:r>
          <w:rPr>
            <w:rStyle w:val="Hyperlink"/>
            <w:rFonts w:ascii="Times New Roman" w:hAnsi="Times New Roman"/>
            <w:b w:val="false"/>
            <w:i w:val="false"/>
            <w:color w:val="000000"/>
            <w:sz w:val="22"/>
          </w:rPr>
          <w:t>481—503.4</w:t>
        </w:r>
      </w:hyperlink>
      <w:r>
        <w:rPr>
          <w:rFonts w:ascii="Times New Roman" w:hAnsi="Times New Roman"/>
          <w:b w:val="false"/>
          <w:i w:val="false"/>
          <w:color w:val="000000"/>
          <w:sz w:val="22"/>
        </w:rPr>
        <w:t>(272) or request that board staff conduct further investigation. Upon completion of an investigation, the investigator, expert consultant and peer-review committee or board staff will present a report to the committee. The committee will review the report and determine what further action is necessary. The committee may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board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board has been violated but that disciplinary action is unwarranted on other grounds and refer the case to the full board with the recommendation of closure. The committee may also recommend that the registrant be informally cautioned or educated about matters that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refer the case to the full board with the recommendation that the board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Pursuant to Iowa Code sections </w:t>
      </w:r>
      <w:hyperlink r:id="rId1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that the board deems necessary as evidence in connection with a disciplinary proceeding or relevant to the decision of whether to initiate a disciplinary proceeding. Board procedures concerning investigatory subpoenas are set forth in rule </w:t>
      </w:r>
      <w:hyperlink r:id="rId13">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481—1005.7</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registrant, the committee may grant the registrant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registrant an opportunity to share the registrant’s account of a complaint in an informal setting before the board determines whether probable cause exists to initiate a disciplinary proceeding. A registrant is not required to attend an informal discussion. Because disciplinary investigations are confidential, the registrant may not bring other persons to an informal discussion, but registrants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registrant, board members or staff who personally investigate a disciplinary complaint are disqualified from making decisions or assisting the decision makers at a later formal hearing. An informal discussion is a form of investigation because it is conducted in a question-and-answer format. In order to preserve the ability of all board members to participate in board decision making and to receive the advice of staff, a registrant who desires to attend an informal discussion must therefore waive the right to seek disqualification of a board member or staff based solely on the board member’s or staff’s participation in an informal discussion. A registrant would not waive the right to seek disqualification on any other ground. By electing to attend an informal discussion, a registrant accordingly agrees that none of the participating board members or staff is disqualified from acting as a presiding officer in a later contested case proceeding or from advising the decision-maker.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board approval, may propose a consent order at the time of the informal discussion. If the registrant agrees to a consent order, a statement of charges will be filed simultaneously with the consent order, as provided in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481—1005.8</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board’s executive officer pursuant to subrule </w:t>
      </w:r>
      <w:hyperlink r:id="rId15">
        <w:r>
          <w:rPr>
            <w:rStyle w:val="Hyperlink"/>
            <w:rFonts w:ascii="Times New Roman" w:hAnsi="Times New Roman"/>
            <w:b w:val="false"/>
            <w:i w:val="false"/>
            <w:color w:val="000000"/>
            <w:sz w:val="22"/>
          </w:rPr>
          <w:t>1005.4(5)</w:t>
        </w:r>
      </w:hyperlink>
      <w:r>
        <w:rPr>
          <w:rFonts w:ascii="Times New Roman" w:hAnsi="Times New Roman"/>
          <w:b w:val="false"/>
          <w:i w:val="false"/>
          <w:color w:val="000000"/>
          <w:sz w:val="22"/>
        </w:rPr>
        <w:t xml:space="preserve">, the recommendation of the disciplinary committee pursuant to rule </w:t>
      </w:r>
      <w:hyperlink r:id="rId16">
        <w:r>
          <w:rPr>
            <w:rStyle w:val="Hyperlink"/>
            <w:rFonts w:ascii="Times New Roman" w:hAnsi="Times New Roman"/>
            <w:b w:val="false"/>
            <w:i w:val="false"/>
            <w:color w:val="000000"/>
            <w:sz w:val="22"/>
          </w:rPr>
          <w:t>481—1005.6</w:t>
        </w:r>
      </w:hyperlink>
      <w:r>
        <w:rPr>
          <w:rFonts w:ascii="Times New Roman" w:hAnsi="Times New Roman"/>
          <w:b w:val="false"/>
          <w:i w:val="false"/>
          <w:color w:val="000000"/>
          <w:sz w:val="22"/>
        </w:rPr>
        <w:t>(17A,272C,544C), or on its own motion, the board may close a complaint file, with or without prior investigation. The board’s decision is final and not eligible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registrant when a complaint file is closed that informally cautions or educates the registrant about matters that could form the basis for disciplinary action in the future if corrective action is not taken by the registrant. Cautionary letters do not constitute disciplinary action, but the board may take such letters into consideration in the future if a registrant continues a practice about which the registrant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481—1005.9</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quorum of the board at a public meeting. Board members who are disqualified shall not be included in determining whether a quorum exists. If, for example, two members of the board are disqualified, four members of the board constitute a quorum of the remaining six board members for purposes of voting on the case in which the two members are disqualified. When three or more members of the board are disqualified or otherwise unavailable for any reason, the board’s executive officer may request the special appointment of one or more substitute board members pursuant to Iowa Code section </w:t>
      </w:r>
      <w:hyperlink r:id="rId17">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481—1005.10</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board rules in this chapter, all of the procedures set forth in </w:t>
      </w:r>
      <w:hyperlink r:id="rId1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apply to disciplinary contested cases initiated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481—1005.11</w:t>
      </w:r>
      <w:r>
        <w:rPr>
          <w:rFonts w:ascii="Times New Roman" w:hAnsi="Times New Roman"/>
          <w:b/>
          <w:i w:val="false"/>
          <w:color w:val="000000"/>
          <w:sz w:val="22"/>
        </w:rPr>
        <w:t xml:space="preserve">(272C,544C)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1005.11(1)</w:t>
      </w:r>
      <w:r>
        <w:rPr>
          <w:rFonts w:ascii="Times New Roman" w:hAnsi="Times New Roman"/>
          <w:b w:val="false"/>
          <w:i w:val="false"/>
          <w:color w:val="000000"/>
          <w:sz w:val="22"/>
        </w:rPr>
        <w:t> </w:t>
      </w:r>
      <w:r>
        <w:rPr>
          <w:rFonts w:ascii="Times New Roman" w:hAnsi="Times New Roman"/>
          <w:b w:val="false"/>
          <w:i/>
          <w:color w:val="000000"/>
          <w:sz w:val="22"/>
        </w:rPr>
        <w:t xml:space="preserve">Types of sanctions. </w:t>
      </w:r>
      <w:r>
        <w:rPr>
          <w:rFonts w:ascii="Times New Roman" w:hAnsi="Times New Roman"/>
          <w:b w:val="false"/>
          <w:i w:val="false"/>
          <w:color w:val="000000"/>
          <w:sz w:val="22"/>
        </w:rPr>
        <w:t>The board has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registered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Impose requirements regarding continuing education.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registration renewal. The board may also specify that additional continuing education be a condition for the termination of any suspension or reinstatement of a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National Council for Interior Design Qualification (NCIDQ) examination given to candidates for the registered interior design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in an amount set by the board but not to exceed $1,000 per violation. Civil penalties may be imposed for any of the disciplinary violations specified in rule </w:t>
      </w:r>
      <w:hyperlink r:id="rId19">
        <w:r>
          <w:rPr>
            <w:rStyle w:val="Hyperlink"/>
            <w:rFonts w:ascii="Times New Roman" w:hAnsi="Times New Roman"/>
            <w:b w:val="false"/>
            <w:i w:val="false"/>
            <w:color w:val="000000"/>
            <w:sz w:val="22"/>
          </w:rPr>
          <w:t>481—1005.2</w:t>
        </w:r>
      </w:hyperlink>
      <w:r>
        <w:rPr>
          <w:rFonts w:ascii="Times New Roman" w:hAnsi="Times New Roman"/>
          <w:b w:val="false"/>
          <w:i w:val="false"/>
          <w:color w:val="000000"/>
          <w:sz w:val="22"/>
        </w:rPr>
        <w:t>(17A,272C,544C).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registrant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registration to resolve a pending disciplinary investigation or contested case. The board shall not accept a voluntary surrender of a registration to resolve a pending disciplinary investigation unless a statement of charges will be filed along with the order accepting the voluntary surrender. Such a voluntary surrender is considered disciplinary action and will be published in the same manner as other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1005.11(4)</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Whenever a registration is revoked, suspended, restricted, or voluntarily surrendered under this chapter,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15 days of receipt of the board’s final order, notify in writing all clients of the fact that the registration has been revoked, suspended or voluntarily surrendered or that the practice of the registrant has been restricted. Such notice shall advise the client to obtain alternative professional services unless the restriction at issue would not impact the registered interior design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hyperlink r:id="rId20">
        <w:r>
          <w:rPr>
            <w:rStyle w:val="Hyperlink"/>
            <w:rFonts w:ascii="Times New Roman" w:hAnsi="Times New Roman"/>
            <w:b w:val="false"/>
            <w:i w:val="false"/>
            <w:color w:val="000000"/>
            <w:sz w:val="22"/>
          </w:rPr>
          <w:t>1005.11(4)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requirement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Factors the board may consider when determining whether to assess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registrant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registrant cooperated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481—1005.12</w:t>
      </w:r>
      <w:r>
        <w:rPr>
          <w:rFonts w:ascii="Times New Roman" w:hAnsi="Times New Roman"/>
          <w:b/>
          <w:i w:val="false"/>
          <w:color w:val="000000"/>
          <w:sz w:val="22"/>
        </w:rPr>
        <w:t xml:space="preserve">(272C,544C) </w:t>
      </w:r>
      <w:r>
        <w:rPr>
          <w:rFonts w:ascii="Times New Roman" w:hAnsi="Times New Roman"/>
          <w:b/>
          <w:i w:val="false"/>
          <w:color w:val="000000"/>
          <w:sz w:val="22"/>
        </w:rPr>
        <w:t xml:space="preserve">Publication of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1005.12(1)</w:t>
      </w:r>
      <w:r>
        <w:rPr>
          <w:rFonts w:ascii="Times New Roman" w:hAnsi="Times New Roman"/>
          <w:b w:val="false"/>
          <w:i w:val="false"/>
          <w:color w:val="000000"/>
          <w:sz w:val="22"/>
        </w:rPr>
        <w:t> </w:t>
      </w:r>
      <w:r>
        <w:rPr>
          <w:rFonts w:ascii="Times New Roman" w:hAnsi="Times New Roman"/>
          <w:b w:val="false"/>
          <w:i w:val="false"/>
          <w:color w:val="000000"/>
          <w:sz w:val="22"/>
        </w:rPr>
        <w:t>The board will publish the name of each registrant disciplined by the board, along with a brief description of the underlying circumstances, regardless of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1005.12(2)</w:t>
      </w:r>
      <w:r>
        <w:rPr>
          <w:rFonts w:ascii="Times New Roman" w:hAnsi="Times New Roman"/>
          <w:b w:val="false"/>
          <w:i w:val="false"/>
          <w:color w:val="000000"/>
          <w:sz w:val="22"/>
        </w:rPr>
        <w:t> </w:t>
      </w:r>
      <w:r>
        <w:rPr>
          <w:rFonts w:ascii="Times New Roman" w:hAnsi="Times New Roman"/>
          <w:b w:val="false"/>
          <w:i w:val="false"/>
          <w:color w:val="000000"/>
          <w:sz w:val="22"/>
        </w:rPr>
        <w:t>The board will issue a formal press release in those instances in which a registration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1005.12(3)</w:t>
      </w:r>
      <w:r>
        <w:rPr>
          <w:rFonts w:ascii="Times New Roman" w:hAnsi="Times New Roman"/>
          <w:b w:val="false"/>
          <w:i w:val="false"/>
          <w:color w:val="000000"/>
          <w:sz w:val="22"/>
        </w:rPr>
        <w:t> </w:t>
      </w:r>
      <w:r>
        <w:rPr>
          <w:rFonts w:ascii="Times New Roman" w:hAnsi="Times New Roman"/>
          <w:b w:val="false"/>
          <w:i w:val="false"/>
          <w:color w:val="000000"/>
          <w:sz w:val="22"/>
        </w:rPr>
        <w:t>The board will notify other state interior design boards that have issued a similar license to an Iowa registrant of disciplinary action taken against the Iowa registrant. The board will also notify the CIDQ of disciplinary action taken against an Iowa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481—1005.13</w:t>
      </w:r>
      <w:r>
        <w:rPr>
          <w:rFonts w:ascii="Times New Roman" w:hAnsi="Times New Roman"/>
          <w:b/>
          <w:i w:val="false"/>
          <w:color w:val="000000"/>
          <w:sz w:val="22"/>
        </w:rPr>
        <w:t xml:space="preserve">(272C,544C)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21">
        <w:r>
          <w:rPr>
            <w:rStyle w:val="Hyperlink"/>
            <w:rFonts w:ascii="Times New Roman" w:hAnsi="Times New Roman"/>
            <w:b w:val="false"/>
            <w:i w:val="false"/>
            <w:color w:val="000000"/>
            <w:sz w:val="22"/>
          </w:rPr>
          <w:t>481—506.32</w:t>
        </w:r>
      </w:hyperlink>
      <w:r>
        <w:rPr>
          <w:rFonts w:ascii="Times New Roman" w:hAnsi="Times New Roman"/>
          <w:b w:val="false"/>
          <w:i w:val="false"/>
          <w:color w:val="000000"/>
          <w:sz w:val="22"/>
        </w:rPr>
        <w:t>(272C), includes the reinstatement of a suspended registration, the modification or removal of a practice restriction, the issuance of a registration following the denial of an application to renew a registration, and the issuance of a new registration following the revocation or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1005.13(2)</w:t>
      </w:r>
      <w:r>
        <w:rPr>
          <w:rFonts w:ascii="Times New Roman" w:hAnsi="Times New Roman"/>
          <w:b w:val="false"/>
          <w:i w:val="false"/>
          <w:color w:val="000000"/>
          <w:sz w:val="22"/>
        </w:rPr>
        <w:t> </w:t>
      </w:r>
      <w:r>
        <w:rPr>
          <w:rFonts w:ascii="Times New Roman" w:hAnsi="Times New Roman"/>
          <w:b w:val="false"/>
          <w:i w:val="false"/>
          <w:color w:val="000000"/>
          <w:sz w:val="22"/>
        </w:rPr>
        <w:t>Any person whose registration has been revoked, suspended or restricted by the board or who has voluntarily surrendered a registration to conclude a disciplinary investigation or proceeding or whose application to renew a registration has been denied may apply to the board to modify or terminate the suspension, issue or reissue the registration, or modify or remove the restriction in accordance with the provisions of this rule and the terms of the order of revocation, suspension or restriction, denial of registration renewal, or acceptance of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registrant may apply for reinstatement, an initial application for reinstatement may not be made until one year has elapsed from the date of the order that revoked, suspended or restricted the registration, denied registration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will be initiated by the respondent and are subject to the procedures set forth in </w:t>
      </w:r>
      <w:hyperlink r:id="rId2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In addition, the board may grant an applicant’s request to appear informally before the board prior to the issuance of a notice of hearing on the application if the applicant requests an informal appearance in the application and agrees not to seek to disqualify on the grounds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23">
        <w:r>
          <w:rPr>
            <w:rStyle w:val="Hyperlink"/>
            <w:rFonts w:ascii="Times New Roman" w:hAnsi="Times New Roman"/>
            <w:b w:val="false"/>
            <w:i w:val="false"/>
            <w:color w:val="000000"/>
            <w:sz w:val="22"/>
          </w:rPr>
          <w:t>481—1005.11</w:t>
        </w:r>
      </w:hyperlink>
      <w:r>
        <w:rPr>
          <w:rFonts w:ascii="Times New Roman" w:hAnsi="Times New Roman"/>
          <w:b w:val="false"/>
          <w:i w:val="false"/>
          <w:color w:val="000000"/>
          <w:sz w:val="22"/>
        </w:rPr>
        <w:t>(272C,544C).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1005.13(6)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restricted the registration, denied registration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3024C</w:t>
      </w:r>
      <w:r>
        <w:rPr>
          <w:rFonts w:ascii="Times New Roman" w:hAnsi="Times New Roman"/>
          <w:b w:val="false"/>
          <w:i w:val="false"/>
          <w:color w:val="000000"/>
          <w:sz w:val="21"/>
        </w:rPr>
        <w:t xml:space="preserve"> (Notice ARC 2797C,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9026C</w:t>
      </w:r>
      <w:r>
        <w:rPr>
          <w:rFonts w:ascii="Times New Roman" w:hAnsi="Times New Roman"/>
          <w:b w:val="false"/>
          <w:i w:val="false"/>
          <w:color w:val="000000"/>
          <w:sz w:val="21"/>
        </w:rPr>
        <w:t xml:space="preserve"> (Notice ARC 8554C, IAB 12/25/24)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04.pdf" Type="http://schemas.openxmlformats.org/officeDocument/2006/relationships/hyperlink" Id="rId5"/>
    <Relationship TargetMode="External" Target="https://www.legis.iowa.gov/docs/ico/chapter/272C.9.pdf" Type="http://schemas.openxmlformats.org/officeDocument/2006/relationships/hyperlink" Id="rId6"/>
    <Relationship TargetMode="External" Target="https://www.legis.iowa.gov/docs/ico/chapter/544C.9.pdf" Type="http://schemas.openxmlformats.org/officeDocument/2006/relationships/hyperlink" Id="rId7"/>
    <Relationship TargetMode="External" Target="https://www.legis.iowa.gov/docs/ico/chapter/272C.8.pdf" Type="http://schemas.openxmlformats.org/officeDocument/2006/relationships/hyperlink" Id="rId8"/>
    <Relationship TargetMode="External" Target="https://www.legis.iowa.gov/docs/iac/rule/481.1005.6.pdf" Type="http://schemas.openxmlformats.org/officeDocument/2006/relationships/hyperlink" Id="rId9"/>
    <Relationship TargetMode="External" Target="https://www.legis.iowa.gov/docs/iac/rule/481.503.4.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ac/rule/481.503.5.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rule/481.1005.4.pdf" Type="http://schemas.openxmlformats.org/officeDocument/2006/relationships/hyperlink" Id="rId15"/>
    <Relationship TargetMode="External" Target="https://www.legis.iowa.gov/docs/iac/rule/481.1005.6.pdf" Type="http://schemas.openxmlformats.org/officeDocument/2006/relationships/hyperlink" Id="rId16"/>
    <Relationship TargetMode="External" Target="https://www.legis.iowa.gov/docs/ico/chapter/17A.11.pdf" Type="http://schemas.openxmlformats.org/officeDocument/2006/relationships/hyperlink" Id="rId17"/>
    <Relationship TargetMode="External" Target="https://www.legis.iowa.gov/docs/iac/chapter/481.506.pdf" Type="http://schemas.openxmlformats.org/officeDocument/2006/relationships/hyperlink" Id="rId18"/>
    <Relationship TargetMode="External" Target="https://www.legis.iowa.gov/docs/iac/rule/481.1005.2.pdf" Type="http://schemas.openxmlformats.org/officeDocument/2006/relationships/hyperlink" Id="rId19"/>
    <Relationship TargetMode="External" Target="https://www.legis.iowa.gov/docs/iac/rule/481.1005.11.pdf" Type="http://schemas.openxmlformats.org/officeDocument/2006/relationships/hyperlink" Id="rId20"/>
    <Relationship TargetMode="External" Target="https://www.legis.iowa.gov/docs/iac/rule/481.506.32.pdf" Type="http://schemas.openxmlformats.org/officeDocument/2006/relationships/hyperlink" Id="rId21"/>
    <Relationship TargetMode="External" Target="https://www.legis.iowa.gov/docs/iac/chapter/481.506.pdf" Type="http://schemas.openxmlformats.org/officeDocument/2006/relationships/hyperlink" Id="rId22"/>
    <Relationship TargetMode="External" Target="https://www.legis.iowa.gov/docs/iac/rule/481.1005.11.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4C.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