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1002</w:t>
      </w:r>
    </w:p>
    <w:p>
      <w:pPr>
        <w:spacing w:before="0" w:after="0"/>
        <w:ind w:left="120"/>
        <w:jc w:val="center"/>
      </w:pPr>
      <w:r>
        <w:rPr>
          <w:rFonts w:ascii="Times New Roman" w:hAnsi="Times New Roman"/>
          <w:b w:val="false"/>
          <w:i w:val="false"/>
          <w:color w:val="000000"/>
          <w:sz w:val="21"/>
        </w:rPr>
        <w:t>REGISTRATION</w:t>
      </w:r>
    </w:p>
    <w:p>
      <w:pPr>
        <w:spacing w:before="0" w:after="0"/>
        <w:ind w:left="120"/>
        <w:jc w:val="center"/>
      </w:pPr>
      <w:r>
        <w:rPr>
          <w:rFonts w:ascii="Times New Roman" w:hAnsi="Times New Roman"/>
          <w:b w:val="false"/>
          <w:i w:val="false"/>
          <w:color w:val="000000"/>
          <w:sz w:val="14"/>
        </w:rPr>
        <w:t>[Prior to 6/24/26, see Interior Design Examining Board[193G]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481—1002.1</w:t>
      </w:r>
      <w:r>
        <w:rPr>
          <w:rFonts w:ascii="Times New Roman" w:hAnsi="Times New Roman"/>
          <w:b/>
          <w:i w:val="false"/>
          <w:color w:val="000000"/>
          <w:sz w:val="22"/>
        </w:rPr>
        <w:t xml:space="preserve">(544C) </w:t>
      </w:r>
      <w:r>
        <w:rPr>
          <w:rFonts w:ascii="Times New Roman" w:hAnsi="Times New Roman"/>
          <w:b/>
          <w:i w:val="false"/>
          <w:color w:val="000000"/>
          <w:sz w:val="22"/>
        </w:rPr>
        <w:t xml:space="preserve">Certificate of registration. </w:t>
      </w:r>
      <w:r>
        <w:rPr>
          <w:rFonts w:ascii="Times New Roman" w:hAnsi="Times New Roman"/>
          <w:b w:val="false"/>
          <w:i w:val="false"/>
          <w:color w:val="000000"/>
          <w:sz w:val="22"/>
        </w:rPr>
        <w:t>All applicants for registration will complete a board-approved application and satisfy the interior design education, practical training, examination, and fee requirements established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1002.1(1)</w:t>
      </w:r>
      <w:r>
        <w:rPr>
          <w:rFonts w:ascii="Times New Roman" w:hAnsi="Times New Roman"/>
          <w:b w:val="false"/>
          <w:i w:val="false"/>
          <w:color w:val="000000"/>
          <w:sz w:val="22"/>
        </w:rPr>
        <w:t> </w:t>
      </w:r>
      <w:r>
        <w:rPr>
          <w:rFonts w:ascii="Times New Roman" w:hAnsi="Times New Roman"/>
          <w:b w:val="false"/>
          <w:i/>
          <w:color w:val="000000"/>
          <w:sz w:val="22"/>
        </w:rPr>
        <w:t xml:space="preserve">Education and practical training. </w:t>
      </w:r>
      <w:r>
        <w:rPr>
          <w:rFonts w:ascii="Times New Roman" w:hAnsi="Times New Roman"/>
          <w:b w:val="false"/>
          <w:i w:val="false"/>
          <w:color w:val="000000"/>
          <w:sz w:val="22"/>
        </w:rPr>
        <w:t xml:space="preserve">An applicant for registration shall meet the education and training requirements set forth in Iowa Code section </w:t>
      </w:r>
      <w:hyperlink r:id="rId5">
        <w:r>
          <w:rPr>
            <w:rStyle w:val="Hyperlink"/>
            <w:rFonts w:ascii="Times New Roman" w:hAnsi="Times New Roman"/>
            <w:b w:val="false"/>
            <w:i w:val="false"/>
            <w:color w:val="000000"/>
            <w:sz w:val="22"/>
          </w:rPr>
          <w:t>544C.5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An applicant for registration will verify successful completion of the National Council for Interior Design Qualification examination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may also grant registration by reciprocity as provided in Iowa Code section </w:t>
      </w:r>
      <w:hyperlink r:id="rId6">
        <w:r>
          <w:rPr>
            <w:rStyle w:val="Hyperlink"/>
            <w:rFonts w:ascii="Times New Roman" w:hAnsi="Times New Roman"/>
            <w:b w:val="false"/>
            <w:i w:val="false"/>
            <w:color w:val="000000"/>
            <w:sz w:val="22"/>
          </w:rPr>
          <w:t>544C.6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7">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1002.1(5)</w:t>
      </w:r>
      <w:r>
        <w:rPr>
          <w:rFonts w:ascii="Times New Roman" w:hAnsi="Times New Roman"/>
          <w:b w:val="false"/>
          <w:i w:val="false"/>
          <w:color w:val="000000"/>
          <w:sz w:val="22"/>
        </w:rPr>
        <w:t> </w:t>
      </w:r>
      <w:r>
        <w:rPr>
          <w:rFonts w:ascii="Times New Roman" w:hAnsi="Times New Roman"/>
          <w:b w:val="false"/>
          <w:i/>
          <w:color w:val="000000"/>
          <w:sz w:val="22"/>
        </w:rPr>
        <w:t xml:space="preserve">Registration by verification. </w:t>
      </w:r>
      <w:r>
        <w:rPr>
          <w:rFonts w:ascii="Times New Roman" w:hAnsi="Times New Roman"/>
          <w:b w:val="false"/>
          <w:i w:val="false"/>
          <w:color w:val="000000"/>
          <w:sz w:val="22"/>
        </w:rPr>
        <w:t xml:space="preserve">The board may grant registration via verification as provided for in </w:t>
      </w:r>
      <w:hyperlink r:id="rId8">
        <w:r>
          <w:rPr>
            <w:rStyle w:val="Hyperlink"/>
            <w:rFonts w:ascii="Times New Roman" w:hAnsi="Times New Roman"/>
            <w:b w:val="false"/>
            <w:i w:val="false"/>
            <w:color w:val="000000"/>
            <w:sz w:val="22"/>
          </w:rPr>
          <w:t>481—Chapter 501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Renewal of certificates of registration. </w:t>
      </w:r>
      <w:r>
        <w:rPr>
          <w:rFonts w:ascii="Times New Roman" w:hAnsi="Times New Roman"/>
          <w:b w:val="false"/>
          <w:i w:val="false"/>
          <w:color w:val="000000"/>
          <w:sz w:val="22"/>
        </w:rPr>
        <w:t xml:space="preserve">Certificates of registration expire biennially on June 30. Certificates issued to registrants with last names beginning with A through K expire on June 30 of even-numbered years and certificates issued to registrants with last names beginning with L through Z expire on June 30 of odd-numbered years. However, a registration issued on or after May 1 but before June 30 will not expire until June 30 of the next renewal. For example, a license issued on May 17, 2020, would not expire until June 30, 2022. A registrant who fails to renew by the expiration date is not authorized to use the title of registered interior designer in Iowa until the certificate is reinstated as provided in rule </w:t>
      </w:r>
      <w:hyperlink r:id="rId9">
        <w:r>
          <w:rPr>
            <w:rStyle w:val="Hyperlink"/>
            <w:rFonts w:ascii="Times New Roman" w:hAnsi="Times New Roman"/>
            <w:b w:val="false"/>
            <w:i w:val="false"/>
            <w:color w:val="000000"/>
            <w:sz w:val="22"/>
          </w:rPr>
          <w:t>481—1002.3</w:t>
        </w:r>
      </w:hyperlink>
      <w:r>
        <w:rPr>
          <w:rFonts w:ascii="Times New Roman" w:hAnsi="Times New Roman"/>
          <w:b w:val="false"/>
          <w:i w:val="false"/>
          <w:color w:val="000000"/>
          <w:sz w:val="22"/>
        </w:rPr>
        <w:t>(544C,17A).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registrant a notice of the pending expiration date. Failure to receive this notice does not relieve the registrant of the responsibility to timely renew the certificate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shall send written notification to the applicant by restricted certified mail, return receipt requested. Grounds may exist to deny an application to renew if, for instance, the registrant failed to satisfy the continuing education provisions required as a condition for registration. If the basis for denial is a pending disciplinary action or disciplinary investigation that is reasonably expected to culminate in disciplinary action, the board shall proceed as provided in </w:t>
      </w:r>
      <w:hyperlink r:id="rId1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registrant appears to be in violation of mandatory continuing education requirements, the board may, in lieu of proceeding to a contested case hearing on the denial of a renewal application as provided in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after or in lieu of giving the licensee an opportunity to come into compliance under rule </w:t>
      </w:r>
      <w:hyperlink r:id="rId13">
        <w:r>
          <w:rPr>
            <w:rStyle w:val="Hyperlink"/>
            <w:rFonts w:ascii="Times New Roman" w:hAnsi="Times New Roman"/>
            <w:b w:val="false"/>
            <w:i w:val="false"/>
            <w:color w:val="000000"/>
            <w:sz w:val="22"/>
          </w:rPr>
          <w:t>481—1003.3</w:t>
        </w:r>
      </w:hyperlink>
      <w:r>
        <w:rPr>
          <w:rFonts w:ascii="Times New Roman" w:hAnsi="Times New Roman"/>
          <w:b w:val="false"/>
          <w:i w:val="false"/>
          <w:color w:val="000000"/>
          <w:sz w:val="22"/>
        </w:rPr>
        <w:t xml:space="preserve">(17A,544C), offer a registrant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registrant complete hours equal to double the deficiency in addition to the required hours. The consent order may impose additional educational requirements on the registrant. Any additional hours of continuing education completed in compliance with the consent order cannot again be claimed at the next renewal. The board will address subsequent offenses on a case-by-case basis. A registrant is free to accept or reject the offer. If the offer of settlement is accepted, the registrant will be issued a renewed certificate of registration and will be subject to disciplinary action if the terms of the consent order are not fulfilled. If the offer of settlement is rejected, the matter will be set for hearing if timely requested by the registrant pursuant to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1002.2(4)</w:t>
      </w:r>
      <w:r>
        <w:rPr>
          <w:rFonts w:ascii="Times New Roman" w:hAnsi="Times New Roman"/>
          <w:b w:val="false"/>
          <w:i w:val="false"/>
          <w:color w:val="000000"/>
          <w:sz w:val="22"/>
        </w:rPr>
        <w:t> </w:t>
      </w:r>
      <w:r>
        <w:rPr>
          <w:rFonts w:ascii="Times New Roman" w:hAnsi="Times New Roman"/>
          <w:b w:val="false"/>
          <w:i w:val="false"/>
          <w:color w:val="000000"/>
          <w:sz w:val="22"/>
        </w:rPr>
        <w:t>A registrant who continues to use the title of registered interior designer in Iowa after the registration has expired may be subject to disciplinary action. Such unauthorized activity may also be grounds to deny a registrant’s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1002.2(5)</w:t>
      </w:r>
      <w:r>
        <w:rPr>
          <w:rFonts w:ascii="Times New Roman" w:hAnsi="Times New Roman"/>
          <w:b w:val="false"/>
          <w:i w:val="false"/>
          <w:color w:val="000000"/>
          <w:sz w:val="22"/>
        </w:rPr>
        <w:t> </w:t>
      </w:r>
      <w:r>
        <w:rPr>
          <w:rFonts w:ascii="Times New Roman" w:hAnsi="Times New Roman"/>
          <w:b w:val="false"/>
          <w:i w:val="false"/>
          <w:color w:val="000000"/>
          <w:sz w:val="22"/>
        </w:rPr>
        <w:t>Registrants shall notify the board within 30 days of any change of address or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481—1002.3</w:t>
      </w:r>
      <w:r>
        <w:rPr>
          <w:rFonts w:ascii="Times New Roman" w:hAnsi="Times New Roman"/>
          <w:b/>
          <w:i w:val="false"/>
          <w:color w:val="000000"/>
          <w:sz w:val="22"/>
        </w:rPr>
        <w:t xml:space="preserve">(544A,17A,272C) </w:t>
      </w:r>
      <w:r>
        <w:rPr>
          <w:rFonts w:ascii="Times New Roman" w:hAnsi="Times New Roman"/>
          <w:b/>
          <w:i w:val="false"/>
          <w:color w:val="000000"/>
          <w:sz w:val="22"/>
        </w:rPr>
        <w:t xml:space="preserve">Grounds for denial of registration renewal. </w:t>
      </w:r>
      <w:r>
        <w:rPr>
          <w:rFonts w:ascii="Times New Roman" w:hAnsi="Times New Roman"/>
          <w:b w:val="false"/>
          <w:i w:val="false"/>
          <w:color w:val="000000"/>
          <w:sz w:val="22"/>
        </w:rPr>
        <w:t xml:space="preserve">Failure of a registrant to complete the continuing education requirements as set forth in </w:t>
      </w:r>
      <w:hyperlink r:id="rId15">
        <w:r>
          <w:rPr>
            <w:rStyle w:val="Hyperlink"/>
            <w:rFonts w:ascii="Times New Roman" w:hAnsi="Times New Roman"/>
            <w:b w:val="false"/>
            <w:i w:val="false"/>
            <w:color w:val="000000"/>
            <w:sz w:val="22"/>
          </w:rPr>
          <w:t>481—Chapter 1003</w:t>
        </w:r>
      </w:hyperlink>
      <w:r>
        <w:rPr>
          <w:rFonts w:ascii="Times New Roman" w:hAnsi="Times New Roman"/>
          <w:b w:val="false"/>
          <w:i w:val="false"/>
          <w:color w:val="000000"/>
          <w:sz w:val="22"/>
        </w:rPr>
        <w:t>, failure to file a report of completed continuing education, or failure to submit a written request for waiver or exemption shall be grounds for the board to deny renewal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certificates of registration. </w:t>
      </w:r>
      <w:r>
        <w:rPr>
          <w:rFonts w:ascii="Times New Roman" w:hAnsi="Times New Roman"/>
          <w:b w:val="false"/>
          <w:i w:val="false"/>
          <w:color w:val="000000"/>
          <w:sz w:val="22"/>
        </w:rPr>
        <w:t>An individual may reinstate a lapsed certificate of registration to active registration by doing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Paying the reinstatement fee of $100;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a written statement outlining the professional activities that the applicant performed in Iowa during the period of nonregistration, including a list of all projects with which the applicant had involvement and explaining the service provided by the applicant;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Submitting documented evidence of completion of 10 continuing education hours, which should have been reported on the June 30 renewal date on which the applicant failed to renew, and 5 continuing education hours for each year or portion of a year of expired registration up to a maximum of 20 continuing education hours. All continuing education hours are to be completed in health, safety, and welfare subjects; be acquired in structured educational activities; and be in compliance with requirements in </w:t>
      </w:r>
      <w:hyperlink r:id="rId16">
        <w:r>
          <w:rPr>
            <w:rStyle w:val="Hyperlink"/>
            <w:rFonts w:ascii="Times New Roman" w:hAnsi="Times New Roman"/>
            <w:b w:val="false"/>
            <w:i w:val="false"/>
            <w:color w:val="000000"/>
            <w:sz w:val="22"/>
          </w:rPr>
          <w:t>481—Chapter 1003</w:t>
        </w:r>
      </w:hyperlink>
      <w:r>
        <w:rPr>
          <w:rFonts w:ascii="Times New Roman" w:hAnsi="Times New Roman"/>
          <w:b w:val="false"/>
          <w:i w:val="false"/>
          <w:color w:val="000000"/>
          <w:sz w:val="22"/>
        </w:rPr>
        <w:t>. The continuing education hours used for reinstatement may not be used again at the next renewal and may not have been earned more than four years prior to the date of the application to reinstate.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481—1002.5</w:t>
      </w:r>
      <w:r>
        <w:rPr>
          <w:rFonts w:ascii="Times New Roman" w:hAnsi="Times New Roman"/>
          <w:b/>
          <w:i w:val="false"/>
          <w:color w:val="000000"/>
          <w:sz w:val="22"/>
        </w:rPr>
        <w:t xml:space="preserve">(544A)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1002.5(1)</w:t>
      </w:r>
      <w:r>
        <w:rPr>
          <w:rFonts w:ascii="Times New Roman" w:hAnsi="Times New Roman"/>
          <w:b w:val="false"/>
          <w:i w:val="false"/>
          <w:color w:val="000000"/>
          <w:sz w:val="22"/>
        </w:rPr>
        <w:t> </w:t>
      </w:r>
      <w:r>
        <w:rPr>
          <w:rFonts w:ascii="Times New Roman" w:hAnsi="Times New Roman"/>
          <w:b w:val="false"/>
          <w:i w:val="false"/>
          <w:color w:val="000000"/>
          <w:sz w:val="22"/>
        </w:rPr>
        <w:t>The interior designer is responsible for verifying the accuracy of the information submitted on applications regardless of how the application is submitted or by whom it is submitted. For instance, if the office manager of an interior designer’s firm submits an application for renewal on behalf of the interior designer and that information is incorrect, the interior designer will be held responsible for the information and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1002.5(2)</w:t>
      </w:r>
      <w:r>
        <w:rPr>
          <w:rFonts w:ascii="Times New Roman" w:hAnsi="Times New Roman"/>
          <w:b w:val="false"/>
          <w:i w:val="false"/>
          <w:color w:val="000000"/>
          <w:sz w:val="22"/>
        </w:rPr>
        <w:t> </w:t>
      </w:r>
      <w:r>
        <w:rPr>
          <w:rFonts w:ascii="Times New Roman" w:hAnsi="Times New Roman"/>
          <w:b w:val="false"/>
          <w:i w:val="false"/>
          <w:color w:val="000000"/>
          <w:sz w:val="22"/>
        </w:rPr>
        <w:t>Persons applying for initial, renewal, or reciprocal registration will submit an application on a form provided by the board and pay a registration fee of $275. An applicant applying for initial, reciprocal, or reinstatement registration within 12 months from the applicant’s renewal date pays half of the required fee. An applicant applying for initial, reciprocal, or reinstatement registration 12 months or more from the applicant’s renewal date pays the full registration fee.</w:t>
      </w:r>
    </w:p>
    <w:p>
      <w:pPr>
        <w:spacing w:before="0" w:after="0"/>
        <w:ind w:left="120"/>
        <w:jc w:val="both"/>
      </w:pPr>
      <w:r>
        <w:rPr>
          <w:rFonts w:ascii="Times New Roman" w:hAnsi="Times New Roman"/>
          <w:b/>
          <w:i w:val="false"/>
          <w:color w:val="000000"/>
          <w:sz w:val="22"/>
        </w:rPr>
        <w:t>1002.5(3)</w:t>
      </w:r>
      <w:r>
        <w:rPr>
          <w:rFonts w:ascii="Times New Roman" w:hAnsi="Times New Roman"/>
          <w:b w:val="false"/>
          <w:i w:val="false"/>
          <w:color w:val="000000"/>
          <w:sz w:val="22"/>
        </w:rPr>
        <w:t> </w:t>
      </w:r>
      <w:r>
        <w:rPr>
          <w:rFonts w:ascii="Times New Roman" w:hAnsi="Times New Roman"/>
          <w:b w:val="false"/>
          <w:i w:val="false"/>
          <w:color w:val="000000"/>
          <w:sz w:val="22"/>
        </w:rPr>
        <w:t>Fee schedule.</w:t>
      </w:r>
    </w:p>
    <w:tbl>
      <w:tblPr>
        <w:tblW w:w="0" w:type="auto"/>
        <w:tblCellSpacing w:w="0" w:type="auto"/>
        <w:tblBorders>
          <w:top w:val="none"/>
          <w:left w:val="none"/>
          <w:bottom w:val="none"/>
          <w:right w:val="none"/>
          <w:insideH w:val="none"/>
          <w:insideV w:val="none"/>
        </w:tblBorders>
        <w:tblLayout w:type="fixed"/>
      </w:tblPr>
      <w:tblGrid>
        <w:gridCol w:w="5705"/>
        <w:gridCol w:w="3247"/>
      </w:tblGrid>
      <w:tr>
        <w:trPr>
          <w:trHeight w:val="180" w:hRule="atLeast"/>
        </w:trPr>
        <w:tc>
          <w:tcPr>
            <w:tcW w:w="57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Type of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Amount</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Registration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Renewal</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lapsed registration</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License predetermination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Dishonored check, draft, order or other payment failure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r>
    </w:tbl>
    <w:p>
      <w:pPr>
        <w:spacing w:before="0" w:after="0"/>
        <w:ind w:left="120"/>
        <w:jc w:val="both"/>
      </w:pPr>
      <w:r>
        <w:rPr>
          <w:rFonts w:ascii="Times New Roman" w:hAnsi="Times New Roman"/>
          <w:b w:val="false"/>
          <w:i w:val="false"/>
          <w:color w:val="000000"/>
          <w:sz w:val="22"/>
        </w:rPr>
        <w:t>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9/21/06, Notice 8/16/06—published 10/11/06, effective 11/15/06]</w:t>
      </w:r>
    </w:p>
    <w:p>
      <w:pPr>
        <w:spacing w:before="0" w:after="0"/>
        <w:ind w:left="120"/>
        <w:jc w:val="center"/>
      </w:pPr>
      <w:r>
        <w:rPr>
          <w:rFonts w:ascii="Times New Roman" w:hAnsi="Times New Roman"/>
          <w:b w:val="false"/>
          <w:i w:val="false"/>
          <w:color w:val="000000"/>
          <w:sz w:val="21"/>
        </w:rPr>
        <w:t>[Filed ARC 9480B</w:t>
      </w:r>
      <w:r>
        <w:rPr>
          <w:rFonts w:ascii="Times New Roman" w:hAnsi="Times New Roman"/>
          <w:b w:val="false"/>
          <w:i w:val="false"/>
          <w:color w:val="000000"/>
          <w:sz w:val="21"/>
        </w:rPr>
        <w:t xml:space="preserve"> (Notice ARC 9347B, IAB 2/9/11)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1431C</w:t>
      </w:r>
      <w:r>
        <w:rPr>
          <w:rFonts w:ascii="Times New Roman" w:hAnsi="Times New Roman"/>
          <w:b w:val="false"/>
          <w:i w:val="false"/>
          <w:color w:val="000000"/>
          <w:sz w:val="21"/>
        </w:rPr>
        <w:t xml:space="preserve"> (Notice ARC 1298C, IAB 2/5/14)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9024C</w:t>
      </w:r>
      <w:r>
        <w:rPr>
          <w:rFonts w:ascii="Times New Roman" w:hAnsi="Times New Roman"/>
          <w:b w:val="false"/>
          <w:i w:val="false"/>
          <w:color w:val="000000"/>
          <w:sz w:val="21"/>
        </w:rPr>
        <w:t xml:space="preserve"> (Notice ARC 8549C, IAB 12/25/24)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C.5.pdf" Type="http://schemas.openxmlformats.org/officeDocument/2006/relationships/hyperlink" Id="rId5"/>
    <Relationship TargetMode="External" Target="https://www.legis.iowa.gov/docs/ico/chapter/544C.6.pdf" Type="http://schemas.openxmlformats.org/officeDocument/2006/relationships/hyperlink" Id="rId6"/>
    <Relationship TargetMode="External" Target="https://www.legis.iowa.gov/docs/iac/chapter/481.7.pdf" Type="http://schemas.openxmlformats.org/officeDocument/2006/relationships/hyperlink" Id="rId7"/>
    <Relationship TargetMode="External" Target="https://www.legis.iowa.gov/docs/iac/chapter/481.501.pdf" Type="http://schemas.openxmlformats.org/officeDocument/2006/relationships/hyperlink" Id="rId8"/>
    <Relationship TargetMode="External" Target="https://www.legis.iowa.gov/docs/iac/rule/481.1002.3.pdf" Type="http://schemas.openxmlformats.org/officeDocument/2006/relationships/hyperlink" Id="rId9"/>
    <Relationship TargetMode="External" Target="https://www.legis.iowa.gov/docs/iac/chapter/481.506.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ac/rule/481.1003.3.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chapter/481.1003.pdf" Type="http://schemas.openxmlformats.org/officeDocument/2006/relationships/hyperlink" Id="rId15"/>
    <Relationship TargetMode="External" Target="https://www.legis.iowa.gov/docs/iac/chapter/481.1003.pdf" Type="http://schemas.openxmlformats.org/officeDocument/2006/relationships/hyperlink" Id="rId16"/>
    <Relationship TargetMode="External" Target="https://www.legis.iowa.gov/docs/ico/chapter/544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