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 xml:space="preserve">RULES OF PROCEDURE AND PRACTICE BEFORE </w:t>
      </w:r>
      <w:r>
        <w:br/>
      </w:r>
      <w:r>
        <w:rPr>
          <w:rFonts w:ascii="Times New Roman" w:hAnsi="Times New Roman"/>
          <w:b w:val="false"/>
          <w:i w:val="false"/>
          <w:color w:val="000000"/>
          <w:sz w:val="21"/>
        </w:rPr>
        <w:t>THE ADMINISTRATIVE HEARINGS DIVISION</w:t>
      </w:r>
    </w:p>
    <w:p>
      <w:pPr>
        <w:spacing w:before="0" w:after="0"/>
        <w:ind w:left="120"/>
        <w:jc w:val="center"/>
      </w:pPr>
      <w:r>
        <w:rPr>
          <w:rFonts w:ascii="Times New Roman" w:hAnsi="Times New Roman"/>
          <w:b w:val="false"/>
          <w:i w:val="false"/>
          <w:color w:val="000000"/>
          <w:sz w:val="20"/>
        </w:rPr>
        <w:t>[Prior to 2/10/88, see Inspections and Appeals Department[481],Ch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10/1/31</w:t>
      </w:r>
    </w:p>
    <w:p>
      <w:pPr>
        <w:spacing w:before="0" w:after="0"/>
        <w:ind w:left="120"/>
        <w:jc w:val="both"/>
      </w:pPr>
      <w:r>
        <w:rPr>
          <w:rFonts w:ascii="Times New Roman" w:hAnsi="Times New Roman"/>
          <w:b/>
          <w:i w:val="false"/>
          <w:color w:val="000000"/>
          <w:sz w:val="22"/>
        </w:rPr>
        <w:t>481—10.1</w:t>
      </w:r>
      <w:r>
        <w:rPr>
          <w:rFonts w:ascii="Times New Roman" w:hAnsi="Times New Roman"/>
          <w:b/>
          <w:i w:val="false"/>
          <w:color w:val="000000"/>
          <w:sz w:val="22"/>
        </w:rPr>
        <w:t xml:space="preserve">(10A) </w:t>
      </w:r>
      <w:r>
        <w:rPr>
          <w:rFonts w:ascii="Times New Roman" w:hAnsi="Times New Roman"/>
          <w:b/>
          <w:i w:val="false"/>
          <w:color w:val="000000"/>
          <w:sz w:val="22"/>
        </w:rPr>
        <w:t xml:space="preserve">Scope and application. </w:t>
      </w:r>
      <w:r>
        <w:rPr>
          <w:rFonts w:ascii="Times New Roman" w:hAnsi="Times New Roman"/>
          <w:b w:val="false"/>
          <w:i w:val="false"/>
          <w:color w:val="000000"/>
          <w:sz w:val="22"/>
        </w:rPr>
        <w:t>To the extent not otherwise provided by law of the transmitting agency or licensing board, this chapter applies to all contested case proceedings before the division or for which an ALJ is assisting another agency or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“AEDMS”</w:t>
      </w:r>
      <w:r>
        <w:rPr>
          <w:rFonts w:ascii="Times New Roman" w:hAnsi="Times New Roman"/>
          <w:b w:val="false"/>
          <w:i w:val="false"/>
          <w:color w:val="000000"/>
          <w:sz w:val="22"/>
        </w:rPr>
        <w:t> </w:t>
      </w:r>
      <w:r>
        <w:rPr>
          <w:rFonts w:ascii="Times New Roman" w:hAnsi="Times New Roman"/>
          <w:b w:val="false"/>
          <w:i w:val="false"/>
          <w:color w:val="000000"/>
          <w:sz w:val="22"/>
        </w:rPr>
        <w:t>means the administrative electronic document management system, which is the division’s electronic filing and case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17A.2(1)</w:t>
        </w:r>
      </w:hyperlink>
      <w:r>
        <w:rPr>
          <w:rFonts w:ascii="Times New Roman" w:hAnsi="Times New Roman"/>
          <w:b w:val="false"/>
          <w:i w:val="false"/>
          <w:color w:val="000000"/>
          <w:sz w:val="22"/>
        </w:rPr>
        <w:t xml:space="preserve"> or a governmental entity pursuant to Iowa Code section </w:t>
      </w:r>
      <w:hyperlink r:id="rId6">
        <w:r>
          <w:rPr>
            <w:rStyle w:val="Hyperlink"/>
            <w:rFonts w:ascii="Times New Roman" w:hAnsi="Times New Roman"/>
            <w:b w:val="false"/>
            <w:i w:val="false"/>
            <w:color w:val="000000"/>
            <w:sz w:val="22"/>
          </w:rPr>
          <w:t>10A.801(5)</w:t>
        </w:r>
      </w:hyperlink>
      <w:r>
        <w:rPr>
          <w:rFonts w:ascii="Times New Roman" w:hAnsi="Times New Roman"/>
          <w:b w:val="false"/>
          <w:i w:val="false"/>
          <w:color w:val="000000"/>
          <w:sz w:val="22"/>
        </w:rPr>
        <w:t>, which has original subject matter jurisdiction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“ALJ”</w:t>
      </w:r>
      <w:r>
        <w:rPr>
          <w:rFonts w:ascii="Times New Roman" w:hAnsi="Times New Roman"/>
          <w:b w:val="false"/>
          <w:i w:val="false"/>
          <w:color w:val="000000"/>
          <w:sz w:val="22"/>
        </w:rPr>
        <w:t> </w:t>
      </w:r>
      <w:r>
        <w:rPr>
          <w:rFonts w:ascii="Times New Roman" w:hAnsi="Times New Roman"/>
          <w:b w:val="false"/>
          <w:i w:val="false"/>
          <w:color w:val="000000"/>
          <w:sz w:val="22"/>
        </w:rPr>
        <w:t>means the administrative law judge, who is the person who presides over or assists with contested cases and other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licensing board as defined in Iowa Code section </w:t>
      </w:r>
      <w:hyperlink r:id="rId7">
        <w:r>
          <w:rPr>
            <w:rStyle w:val="Hyperlink"/>
            <w:rFonts w:ascii="Times New Roman" w:hAnsi="Times New Roman"/>
            <w:b w:val="false"/>
            <w:i w:val="false"/>
            <w:color w:val="000000"/>
            <w:sz w:val="22"/>
          </w:rPr>
          <w:t>272C.1(6)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w:t>
      </w:r>
      <w:r>
        <w:rPr>
          <w:rFonts w:ascii="Times New Roman" w:hAnsi="Times New Roman"/>
          <w:b w:val="false"/>
          <w:i w:val="false"/>
          <w:color w:val="000000"/>
          <w:sz w:val="22"/>
        </w:rPr>
        <w:t> </w:t>
      </w:r>
      <w:r>
        <w:rPr>
          <w:rFonts w:ascii="Times New Roman" w:hAnsi="Times New Roman"/>
          <w:b w:val="false"/>
          <w:i w:val="false"/>
          <w:color w:val="000000"/>
          <w:sz w:val="22"/>
        </w:rPr>
        <w:t>means the division of administrative hearings in the department of inspections, appeals, and licensing (DIAL).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“Issuance”</w:t>
      </w:r>
      <w:r>
        <w:rPr>
          <w:rFonts w:ascii="Times New Roman" w:hAnsi="Times New Roman"/>
          <w:b w:val="false"/>
          <w:i w:val="false"/>
          <w:color w:val="000000"/>
          <w:sz w:val="22"/>
        </w:rPr>
        <w:t> </w:t>
      </w:r>
      <w:r>
        <w:rPr>
          <w:rFonts w:ascii="Times New Roman" w:hAnsi="Times New Roman"/>
          <w:b w:val="false"/>
          <w:i w:val="false"/>
          <w:color w:val="000000"/>
          <w:sz w:val="22"/>
        </w:rPr>
        <w:t>means the date of a decision or order, mailing of a decision or order, or date of delivery if service is by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“Presiding officer”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or body who acts as a presiding officer of a contested case proceeding under the authority of Iowa Code section </w:t>
      </w:r>
      <w:hyperlink r:id="rId8">
        <w:r>
          <w:rPr>
            <w:rStyle w:val="Hyperlink"/>
            <w:rFonts w:ascii="Times New Roman" w:hAnsi="Times New Roman"/>
            <w:b w:val="false"/>
            <w:i w:val="false"/>
            <w:color w:val="000000"/>
            <w:sz w:val="22"/>
          </w:rPr>
          <w:t>17A.11(1)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“Proposed decision”</w:t>
      </w:r>
      <w:r>
        <w:rPr>
          <w:rFonts w:ascii="Times New Roman" w:hAnsi="Times New Roman"/>
          <w:b w:val="false"/>
          <w:i w:val="false"/>
          <w:color w:val="000000"/>
          <w:sz w:val="22"/>
        </w:rPr>
        <w:t> </w:t>
      </w:r>
      <w:r>
        <w:rPr>
          <w:rFonts w:ascii="Times New Roman" w:hAnsi="Times New Roman"/>
          <w:b w:val="false"/>
          <w:i w:val="false"/>
          <w:color w:val="000000"/>
          <w:sz w:val="22"/>
        </w:rPr>
        <w:t>means the ALJ’s recommended findings of fact, conclusions of law, and decision and order in contested cases where the agency did not preside.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w:t>
      </w:r>
      <w:r>
        <w:rPr>
          <w:rFonts w:ascii="Times New Roman" w:hAnsi="Times New Roman"/>
          <w:b/>
          <w:i w:val="false"/>
          <w:color w:val="000000"/>
          <w:sz w:val="22"/>
        </w:rPr>
        <w:t xml:space="preserve">(10A,17A) </w:t>
      </w:r>
      <w:r>
        <w:rPr>
          <w:rFonts w:ascii="Times New Roman" w:hAnsi="Times New Roman"/>
          <w:b/>
          <w:i w:val="false"/>
          <w:color w:val="000000"/>
          <w:sz w:val="22"/>
        </w:rPr>
        <w:t xml:space="preserve">Time requirements. </w:t>
      </w:r>
      <w:r>
        <w:rPr>
          <w:rFonts w:ascii="Times New Roman" w:hAnsi="Times New Roman"/>
          <w:b w:val="false"/>
          <w:i w:val="false"/>
          <w:color w:val="000000"/>
          <w:sz w:val="22"/>
        </w:rPr>
        <w:t xml:space="preserve">Time shall be computed as provided in Iowa Code section </w:t>
      </w:r>
      <w:hyperlink r:id="rId9">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 For good cause, the presiding officer may extend or shorten the time to take any action, except as provided otherwise by rule or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w:t>
      </w:r>
      <w:r>
        <w:rPr>
          <w:rFonts w:ascii="Times New Roman" w:hAnsi="Times New Roman"/>
          <w:b/>
          <w:i w:val="false"/>
          <w:color w:val="000000"/>
          <w:sz w:val="22"/>
        </w:rPr>
        <w:t xml:space="preserve">(10A) </w:t>
      </w:r>
      <w:r>
        <w:rPr>
          <w:rFonts w:ascii="Times New Roman" w:hAnsi="Times New Roman"/>
          <w:b/>
          <w:i w:val="false"/>
          <w:color w:val="000000"/>
          <w:sz w:val="22"/>
        </w:rPr>
        <w:t xml:space="preserve">Requests for a contested case hearing. </w:t>
      </w:r>
      <w:r>
        <w:rPr>
          <w:rFonts w:ascii="Times New Roman" w:hAnsi="Times New Roman"/>
          <w:b w:val="false"/>
          <w:i w:val="false"/>
          <w:color w:val="000000"/>
          <w:sz w:val="22"/>
        </w:rPr>
        <w:t>Requests for a contested case hearing are made to the agency with subject matter jurisdiction. That agency shall determine whether to initiate a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w:t>
      </w:r>
      <w:r>
        <w:rPr>
          <w:rFonts w:ascii="Times New Roman" w:hAnsi="Times New Roman"/>
          <w:b/>
          <w:i w:val="false"/>
          <w:color w:val="000000"/>
          <w:sz w:val="22"/>
        </w:rPr>
        <w:t xml:space="preserve">(10A) </w:t>
      </w:r>
      <w:r>
        <w:rPr>
          <w:rFonts w:ascii="Times New Roman" w:hAnsi="Times New Roman"/>
          <w:b/>
          <w:i w:val="false"/>
          <w:color w:val="000000"/>
          <w:sz w:val="22"/>
        </w:rPr>
        <w:t xml:space="preserve">Transmission of 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val="false"/>
          <w:color w:val="000000"/>
          <w:sz w:val="22"/>
        </w:rPr>
        <w:t>The agency shall transmit the matter either by creating a new case in AEDMS or by submitting a transmittal form. The following information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transmitting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address, and telephone number of the contact person in the transmitting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or title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agency docket or reference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citation to the jurisdictional authority of the agency regarding the matter in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anticipated special features or requirements that may affect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hearing should be held in person, by telephone, or by video conference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special legal or technical expertise needed to resolve the issues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names, phone numbers, email addresses, and addresses of all parties and their attorneys or other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the request for a contested case hearing was received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statement of the issues involved and a reference to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mandatory time limits that apply to the processing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Earliest appropriate hearing date;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Whether a petition or answer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val="false"/>
          <w:color w:val="000000"/>
          <w:sz w:val="22"/>
        </w:rPr>
        <w:t>The following documents shall be attached to the completed transmittal form or uploaded into AEDMS upon filing of a new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document showing the agency action in controversy;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any document requesting a contested case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Notices of hearing and 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val="false"/>
          <w:color w:val="000000"/>
          <w:sz w:val="22"/>
        </w:rPr>
        <w:t>A contested case is commenced when the division or board issues a notice of hearing or notice of prehearing conference. Responsibility for issuance of the notice and the manner of service shall be resolved by agreement between the division and the transmitting agency or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Notices shall contain the information required by Iowa Code section </w:t>
      </w:r>
      <w:hyperlink r:id="rId10">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xml:space="preserve"> and any additional information required by statute or rule. Notices shall be served by first-class mail or by AEDMS to all parties who are registered users unless otherwise required or permitted by statute or rule or agreed to pursuant to subrule </w:t>
      </w:r>
      <w:hyperlink r:id="rId11">
        <w:r>
          <w:rPr>
            <w:rStyle w:val="Hyperlink"/>
            <w:rFonts w:ascii="Times New Roman" w:hAnsi="Times New Roman"/>
            <w:b w:val="false"/>
            <w:i w:val="false"/>
            <w:color w:val="000000"/>
            <w:sz w:val="22"/>
          </w:rPr>
          <w:t>10.6(1)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or it may be set upon the presiding officer’s own motion. Prehearing conferences may provide an opportunity to be heard on the selection of date, time, manner of hearing, and any other matter set forth in the notice or raised by the parties or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481—10.7</w:t>
      </w:r>
      <w:r>
        <w:rPr>
          <w:rFonts w:ascii="Times New Roman" w:hAnsi="Times New Roman"/>
          <w:b/>
          <w:i w:val="false"/>
          <w:color w:val="000000"/>
          <w:sz w:val="22"/>
        </w:rPr>
        <w:t xml:space="preserve">(10A,17A) </w:t>
      </w:r>
      <w:r>
        <w:rPr>
          <w:rFonts w:ascii="Times New Roman" w:hAnsi="Times New Roman"/>
          <w:b/>
          <w:i w:val="false"/>
          <w:color w:val="000000"/>
          <w:sz w:val="22"/>
        </w:rPr>
        <w:t xml:space="preserve">Manner of proceedings. </w:t>
      </w:r>
      <w:r>
        <w:rPr>
          <w:rFonts w:ascii="Times New Roman" w:hAnsi="Times New Roman"/>
          <w:b w:val="false"/>
          <w:i w:val="false"/>
          <w:color w:val="000000"/>
          <w:sz w:val="22"/>
        </w:rPr>
        <w:t>Unless otherwise provided by statute or rule, the presiding officer holds the discretion to conduct hearings by telephone conference, video conference, or in person. Upon request, the presiding officer may allow witnesses to testify remotely, either via phone or video, in an in-person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w:t>
      </w:r>
      <w:r>
        <w:rPr>
          <w:rFonts w:ascii="Times New Roman" w:hAnsi="Times New Roman"/>
          <w:b/>
          <w:i w:val="false"/>
          <w:color w:val="000000"/>
          <w:sz w:val="22"/>
        </w:rPr>
        <w:t xml:space="preserve">(10A,17A) </w:t>
      </w:r>
      <w:r>
        <w:rPr>
          <w:rFonts w:ascii="Times New Roman" w:hAnsi="Times New Roman"/>
          <w:b/>
          <w:i w:val="false"/>
          <w:color w:val="000000"/>
          <w:sz w:val="22"/>
        </w:rPr>
        <w:t xml:space="preserve">Scheduling. </w:t>
      </w:r>
      <w:r>
        <w:rPr>
          <w:rFonts w:ascii="Times New Roman" w:hAnsi="Times New Roman"/>
          <w:b w:val="false"/>
          <w:i w:val="false"/>
          <w:color w:val="000000"/>
          <w:sz w:val="22"/>
        </w:rPr>
        <w:t>Contested case hearings are scheduled according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w:t>
      </w:r>
      <w:r>
        <w:rPr>
          <w:rFonts w:ascii="Times New Roman" w:hAnsi="Times New Roman"/>
          <w:b w:val="false"/>
          <w:i w:val="false"/>
          <w:color w:val="000000"/>
          <w:sz w:val="22"/>
        </w:rPr>
        <w:t> </w:t>
      </w:r>
      <w:r>
        <w:rPr>
          <w:rFonts w:ascii="Times New Roman" w:hAnsi="Times New Roman"/>
          <w:b w:val="false"/>
          <w:i/>
          <w:color w:val="000000"/>
          <w:sz w:val="22"/>
        </w:rPr>
        <w:t xml:space="preserve">Agency hearings. </w:t>
      </w:r>
      <w:r>
        <w:rPr>
          <w:rFonts w:ascii="Times New Roman" w:hAnsi="Times New Roman"/>
          <w:b w:val="false"/>
          <w:i w:val="false"/>
          <w:color w:val="000000"/>
          <w:sz w:val="22"/>
        </w:rPr>
        <w:t>The division will promptly schedule hearings, with consideration of the availability of an ALJ, the requests of the parties or transmitting agency, and any special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w:t>
      </w:r>
      <w:r>
        <w:rPr>
          <w:rFonts w:ascii="Times New Roman" w:hAnsi="Times New Roman"/>
          <w:b w:val="false"/>
          <w:i w:val="false"/>
          <w:color w:val="000000"/>
          <w:sz w:val="22"/>
        </w:rPr>
        <w:t> </w:t>
      </w:r>
      <w:r>
        <w:rPr>
          <w:rFonts w:ascii="Times New Roman" w:hAnsi="Times New Roman"/>
          <w:b w:val="false"/>
          <w:i/>
          <w:color w:val="000000"/>
          <w:sz w:val="22"/>
        </w:rPr>
        <w:t xml:space="preserve">Board hearings. </w:t>
      </w:r>
      <w:r>
        <w:rPr>
          <w:rFonts w:ascii="Times New Roman" w:hAnsi="Times New Roman"/>
          <w:b w:val="false"/>
          <w:i w:val="false"/>
          <w:color w:val="000000"/>
          <w:sz w:val="22"/>
        </w:rPr>
        <w:t>When a board requests an ALJ to assist with a contested case proceeding, the board shall consult with the division prior to scheduling hearings to determine the availability of an ALJ.</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r>
        <w:rPr>
          <w:rFonts w:ascii="Times New Roman" w:hAnsi="Times New Roman"/>
          <w:b w:val="false"/>
          <w:i w:val="false"/>
          <w:color w:val="000000"/>
          <w:sz w:val="22"/>
        </w:rPr>
        <w:t xml:space="preserve">An ALJ shall withdraw from a contested case under the circumstances listed in </w:t>
      </w:r>
      <w:hyperlink r:id="rId12">
        <w:r>
          <w:rPr>
            <w:rStyle w:val="Hyperlink"/>
            <w:rFonts w:ascii="Times New Roman" w:hAnsi="Times New Roman"/>
            <w:b w:val="false"/>
            <w:i w:val="false"/>
            <w:color w:val="000000"/>
            <w:sz w:val="22"/>
          </w:rPr>
          <w:t>481—subrule 15.2(11)</w:t>
        </w:r>
      </w:hyperlink>
      <w:r>
        <w:rPr>
          <w:rFonts w:ascii="Times New Roman" w:hAnsi="Times New Roman"/>
          <w:b w:val="false"/>
          <w:i w:val="false"/>
          <w:color w:val="000000"/>
          <w:sz w:val="22"/>
        </w:rPr>
        <w:t xml:space="preserve"> or as otherwise required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481—10.10</w:t>
      </w:r>
      <w:r>
        <w:rPr>
          <w:rFonts w:ascii="Times New Roman" w:hAnsi="Times New Roman"/>
          <w:b/>
          <w:i w:val="false"/>
          <w:color w:val="000000"/>
          <w:sz w:val="22"/>
        </w:rPr>
        <w:t xml:space="preserve">(10A,17A)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upon motion by any party or upon the presiding officer’s own motion, consolidate any or all matters at issue in two or more proceedings docketed under these rules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exist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parties engaged in otherwise separate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upon motion by any party or upon the presiding officer’s own motion, for good cause shown, order any proceeding or portion of the proceeding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481—10.11</w:t>
      </w:r>
      <w:r>
        <w:rPr>
          <w:rFonts w:ascii="Times New Roman" w:hAnsi="Times New Roman"/>
          <w:b/>
          <w:i w:val="false"/>
          <w:color w:val="000000"/>
          <w:sz w:val="22"/>
        </w:rPr>
        <w:t xml:space="preserve">(10A,17A) </w:t>
      </w:r>
      <w:r>
        <w:rPr>
          <w:rFonts w:ascii="Times New Roman" w:hAnsi="Times New Roman"/>
          <w:b/>
          <w:i w:val="false"/>
          <w:color w:val="000000"/>
          <w:sz w:val="22"/>
        </w:rPr>
        <w:t xml:space="preserve">Pleadings. </w:t>
      </w:r>
      <w:r>
        <w:rPr>
          <w:rFonts w:ascii="Times New Roman" w:hAnsi="Times New Roman"/>
          <w:b w:val="false"/>
          <w:i w:val="false"/>
          <w:color w:val="000000"/>
          <w:sz w:val="22"/>
        </w:rPr>
        <w:t>Pleadings may be required by the notice of hearing or by order of the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481—10.12</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color w:val="000000"/>
          <w:sz w:val="22"/>
        </w:rPr>
        <w:t xml:space="preserve">When service is required. </w:t>
      </w:r>
      <w:r>
        <w:rPr>
          <w:rFonts w:ascii="Times New Roman" w:hAnsi="Times New Roman"/>
          <w:b w:val="false"/>
          <w:i w:val="false"/>
          <w:color w:val="000000"/>
          <w:sz w:val="22"/>
        </w:rPr>
        <w:t>Except where otherwise specifically authorized by law, every pleading, motion, or other document filed in the contested case proceeding and every document relating to discovery in the proceeding shall be served upon each of the parties to the proceeding, including the originating agency.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color w:val="000000"/>
          <w:sz w:val="22"/>
        </w:rPr>
        <w:t xml:space="preserve">Methods of performing service. </w:t>
      </w:r>
      <w:r>
        <w:rPr>
          <w:rFonts w:ascii="Times New Roman" w:hAnsi="Times New Roman"/>
          <w:b w:val="false"/>
          <w:i w:val="false"/>
          <w:color w:val="000000"/>
          <w:sz w:val="22"/>
        </w:rPr>
        <w:t>Service upon a party represented in the contested case proceeding by an attorney shall be made upon the attorney unless otherwise ordered. Service is made by electronically filing in AEDMS or delivering, mailing, or transmitting by fax or by email a copy to the party or attorney at the party’s or attorney’s last-known mailing address, fax number, or email address. Service by first-class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10.12(3)</w:t>
      </w:r>
      <w:r>
        <w:rPr>
          <w:rFonts w:ascii="Times New Roman" w:hAnsi="Times New Roman"/>
          <w:b w:val="false"/>
          <w:i w:val="false"/>
          <w:color w:val="000000"/>
          <w:sz w:val="22"/>
        </w:rPr>
        <w:t> </w:t>
      </w:r>
      <w:r>
        <w:rPr>
          <w:rFonts w:ascii="Times New Roman" w:hAnsi="Times New Roman"/>
          <w:b w:val="false"/>
          <w:i/>
          <w:color w:val="000000"/>
          <w:sz w:val="22"/>
        </w:rPr>
        <w:t xml:space="preserve">Filing with the division. </w:t>
      </w:r>
      <w:r>
        <w:rPr>
          <w:rFonts w:ascii="Times New Roman" w:hAnsi="Times New Roman"/>
          <w:b w:val="false"/>
          <w:i w:val="false"/>
          <w:color w:val="000000"/>
          <w:sz w:val="22"/>
        </w:rPr>
        <w:t>After a matter has been assigned to the division, and until a decision is issued, every pleading, motion, or other document shall be filed with the division, rather than the originating agency. All documents that are required to be served upon a party shall be filed simultaneously with the division.</w:t>
      </w:r>
    </w:p>
    <w:p>
      <w:pPr>
        <w:spacing w:before="0" w:after="0"/>
        <w:ind w:left="120"/>
        <w:jc w:val="both"/>
      </w:pPr>
      <w:r>
        <w:rPr>
          <w:rFonts w:ascii="Times New Roman" w:hAnsi="Times New Roman"/>
          <w:b w:val="false"/>
          <w:i w:val="false"/>
          <w:color w:val="000000"/>
          <w:sz w:val="22"/>
        </w:rPr>
        <w:t>Except where otherwise provided by law, a document is deemed filed with the division at the time it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Delivered to the division at 6200 Park Avenue, Suite 100, Des Moines, Iowa 50321, and date-stamped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Mailed to the division by first-class mail or by state interoffice mail so long as there is adequate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Transmitted by fax to 515.281.4477 or by email to </w:t>
      </w:r>
      <w:hyperlink r:id="rId13">
        <w:r>
          <w:rPr>
            <w:rStyle w:val="Hyperlink"/>
            <w:rFonts w:ascii="Times New Roman" w:hAnsi="Times New Roman"/>
            <w:b w:val="false"/>
            <w:i w:val="false"/>
            <w:color w:val="000000"/>
            <w:sz w:val="22"/>
            <w:u w:val="single"/>
          </w:rPr>
          <w:t>adminhearings@dia.iowa.gov</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File stamped in AEDMS.</w:t>
      </w:r>
    </w:p>
    <w:p>
      <w:pPr>
        <w:spacing w:before="0" w:after="0"/>
        <w:ind w:left="120"/>
        <w:jc w:val="both"/>
      </w:pPr>
      <w:r>
        <w:rPr>
          <w:rFonts w:ascii="Times New Roman" w:hAnsi="Times New Roman"/>
          <w:b/>
          <w:i w:val="false"/>
          <w:color w:val="000000"/>
          <w:sz w:val="22"/>
        </w:rPr>
        <w:t>10.12(4)</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Adequate proof of mailing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w:t>
      </w:r>
    </w:p>
    <w:tbl>
      <w:tblPr>
        <w:tblW w:w="0" w:type="auto"/>
        <w:tblCellSpacing w:w="0" w:type="auto"/>
        <w:tblBorders>
          <w:top w:val="none"/>
          <w:left w:val="none"/>
          <w:bottom w:val="none"/>
          <w:right w:val="none"/>
          <w:insideH w:val="none"/>
          <w:insideV w:val="none"/>
        </w:tblBorders>
      </w:tblPr>
      <w:tblGrid>
        <w:gridCol w:w="480"/>
        <w:gridCol w:w="4016"/>
        <w:gridCol w:w="6694"/>
      </w:tblGrid>
      <w:tr>
        <w:trPr>
          <w:trHeight w:val="2910" w:hRule="atLeast"/>
        </w:trPr>
        <w:tc>
          <w:tcPr>
            <w:tcW w:w="48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c>
          <w:tcPr>
            <w:tcW w:w="0" w:type="auto"/>
            <w:gridSpan w:val="2"/>
            <w:tcBorders/>
            <w:tcMar>
              <w:top w:w="30" w:type="dxa"/>
              <w:left w:w="30" w:type="dxa"/>
              <w:bottom w:w="15" w:type="dxa"/>
              <w:right w:w="30" w:type="dxa"/>
            </w:tcMar>
            <w:vAlign w:val="top"/>
          </w:tcPr>
          <w:p>
            <w:pPr>
              <w:spacing w:before="0" w:after="0" w:line="480"/>
              <w:ind w:left="160"/>
              <w:jc w:val="both"/>
            </w:pPr>
            <w:r>
              <w:rPr>
                <w:rFonts w:ascii="Times New Roman" w:hAnsi="Times New Roman"/>
                <w:b w:val="false"/>
                <w:i w:val="false"/>
                <w:color w:val="000000"/>
                <w:sz w:val="24"/>
              </w:rPr>
              <w:t>I certify under penalty of perjury and pursuant to the laws of Iowa that, on (date of mailing), I mailed copies of (describe document) addressed to the Department of Inspections, Appeals, and Licensing, Administrative Hearings Division, 6200 Park Avenue, Des Moines, Iowa 50321, and to the names and addresses of the parties listed below by depositing the same in (a United States post office mailbox with correct postage properly affixed) or (state interoffice mail).</w:t>
            </w:r>
          </w:p>
        </w:tc>
      </w:tr>
      <w:tr>
        <w:trPr>
          <w:trHeight w:val="510" w:hRule="atLeast"/>
        </w:trPr>
        <w:tc>
          <w:tcPr>
            <w:tcW w:w="48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c>
          <w:tcPr>
            <w:tcW w:w="401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(date)</w:t>
            </w:r>
          </w:p>
        </w:tc>
        <w:tc>
          <w:tcPr>
            <w:tcW w:w="669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rules of the agency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Any motion relating to discovery shall allege that the moving party has made a good-faith attempt to resolve the issues raised by the motion with the opposing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481—10.14</w:t>
      </w:r>
      <w:r>
        <w:rPr>
          <w:rFonts w:ascii="Times New Roman" w:hAnsi="Times New Roman"/>
          <w:b/>
          <w:i w:val="false"/>
          <w:color w:val="000000"/>
          <w:sz w:val="22"/>
        </w:rPr>
        <w:t xml:space="preserve">(10A,17A)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Every subpoena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 that the subpoena is issued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title of the proceeding and its case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Command each person to whom it is directed to do the following at a specified time and place: attend and testify; produce designated documents, electronically stored information, or tangible things in that person’s possession, custody, or control; or permit the inspection of premises;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Set out the text of subrules </w:t>
      </w:r>
      <w:hyperlink r:id="rId14">
        <w:r>
          <w:rPr>
            <w:rStyle w:val="Hyperlink"/>
            <w:rFonts w:ascii="Times New Roman" w:hAnsi="Times New Roman"/>
            <w:b w:val="false"/>
            <w:i w:val="false"/>
            <w:color w:val="000000"/>
            <w:sz w:val="22"/>
          </w:rPr>
          <w:t>10.14(4)</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10.14(5)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Command to attend a deposition; notice of the recording method. </w:t>
      </w:r>
      <w:r>
        <w:rPr>
          <w:rFonts w:ascii="Times New Roman" w:hAnsi="Times New Roman"/>
          <w:b w:val="false"/>
          <w:i w:val="false"/>
          <w:color w:val="000000"/>
          <w:sz w:val="22"/>
        </w:rPr>
        <w:t>A subpoena commanding attendance at a deposition must state the method for recording the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Combining or separating a command to produce or to permit inspection; specifying the form for electronically stored information. </w:t>
      </w:r>
      <w:r>
        <w:rPr>
          <w:rFonts w:ascii="Times New Roman" w:hAnsi="Times New Roman"/>
          <w:b w:val="false"/>
          <w:i w:val="false"/>
          <w:color w:val="000000"/>
          <w:sz w:val="22"/>
        </w:rPr>
        <w:t>A command to produce documents, electronically stored information, or tangible things or to permit the inspection of premises may be included in a subpoena commanding attendance at a deposition, hearing, or trial, or may be set out in a separate subpoena. A subpoena may specify the form or forms in which electronically stored information is to be produced.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Command to produce; included obligations. </w:t>
      </w:r>
      <w:r>
        <w:rPr>
          <w:rFonts w:ascii="Times New Roman" w:hAnsi="Times New Roman"/>
          <w:b w:val="false"/>
          <w:i w:val="false"/>
          <w:color w:val="000000"/>
          <w:sz w:val="22"/>
        </w:rPr>
        <w:t>A command in a subpoena to produce documents, electronically stored information, or tangible things requires the responding party to permit inspection, copying, testing, or sampling of the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The division will issue a subpoena, signed but otherwise in blank, to a party who requests it in writing. That party must complete it before service. An attorney licensed or otherwise authorized to practice law in Iowa also may issue and sign a subpoena as an officer of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color w:val="000000"/>
          <w:sz w:val="22"/>
        </w:rPr>
        <w:t xml:space="preserve">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By whom; tendering fees; serving a copy of certain subpoenas. </w:t>
      </w:r>
      <w:r>
        <w:rPr>
          <w:rFonts w:ascii="Times New Roman" w:hAnsi="Times New Roman"/>
          <w:b w:val="false"/>
          <w:i w:val="false"/>
          <w:color w:val="000000"/>
          <w:sz w:val="22"/>
        </w:rPr>
        <w:t>Any person who is at least 18 years old and not a party may serve a subpoena. Serving a subpoena requires delivering a copy to the named person and, if the subpoena requires that person’s attendance and, if demanded, tendering the fees for one day’s attendance and traveling fees to and from the court. If the subpoena commands the production of documents, electronically stored information, or tangible things or the inspection of premises before trial, then before it is served, a notice must be served on each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Permissible place of service. </w:t>
      </w:r>
      <w:r>
        <w:rPr>
          <w:rFonts w:ascii="Times New Roman" w:hAnsi="Times New Roman"/>
          <w:b w:val="false"/>
          <w:i w:val="false"/>
          <w:color w:val="000000"/>
          <w:sz w:val="22"/>
        </w:rPr>
        <w:t>A subpoena may be served at any place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Proof of service. </w:t>
      </w:r>
      <w:r>
        <w:rPr>
          <w:rFonts w:ascii="Times New Roman" w:hAnsi="Times New Roman"/>
          <w:b w:val="false"/>
          <w:i w:val="false"/>
          <w:color w:val="000000"/>
          <w:sz w:val="22"/>
        </w:rPr>
        <w:t xml:space="preserve">Proving service, when necessary, requires filing with the division a statement showing the date and manner of service and the names of persons served. The server must certify the statement in accordance with Iowa Code section </w:t>
      </w:r>
      <w:hyperlink r:id="rId16">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10.14(4)</w:t>
      </w:r>
      <w:r>
        <w:rPr>
          <w:rFonts w:ascii="Times New Roman" w:hAnsi="Times New Roman"/>
          <w:b w:val="false"/>
          <w:i w:val="false"/>
          <w:color w:val="000000"/>
          <w:sz w:val="22"/>
        </w:rPr>
        <w:t> </w:t>
      </w:r>
      <w:r>
        <w:rPr>
          <w:rFonts w:ascii="Times New Roman" w:hAnsi="Times New Roman"/>
          <w:b w:val="false"/>
          <w:i/>
          <w:color w:val="000000"/>
          <w:sz w:val="22"/>
        </w:rPr>
        <w:t xml:space="preserve">Protecting a person subject to a subpoena.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Avoiding undue burden or expense. </w:t>
      </w:r>
      <w:r>
        <w:rPr>
          <w:rFonts w:ascii="Times New Roman" w:hAnsi="Times New Roman"/>
          <w:b w:val="false"/>
          <w:i w:val="false"/>
          <w:color w:val="000000"/>
          <w:sz w:val="22"/>
        </w:rPr>
        <w:t>A party or attorney responsible for issuing and serving a subpoena must take reasonable steps to avoid imposing undue burden or expense on a person subject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Command to produce materials or permit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Appearance not required.</w:t>
      </w:r>
      <w:r>
        <w:rPr>
          <w:rFonts w:ascii="Times New Roman" w:hAnsi="Times New Roman"/>
          <w:b w:val="false"/>
          <w:i w:val="false"/>
          <w:color w:val="000000"/>
          <w:sz w:val="22"/>
        </w:rPr>
        <w:t xml:space="preserve"> A person commanded to produce documents, electronically stored information, or tangible things, or to permit the inspection of premises, need not appear in person at the place of production or inspection unless also commanded to appear for a deposition, hearing, or trial.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Objections.</w:t>
      </w:r>
      <w:r>
        <w:rPr>
          <w:rFonts w:ascii="Times New Roman" w:hAnsi="Times New Roman"/>
          <w:b w:val="false"/>
          <w:i w:val="false"/>
          <w:color w:val="000000"/>
          <w:sz w:val="22"/>
        </w:rPr>
        <w:t> A person commanded to produce documents or tangible things or to permit inspection may serve on the party or attorney designated in the subpoena a written objection to inspecting, copying, testing or sampling any or all of the materials or to inspecting the premises, or to producing electronically stored information in the form or forms requested. The objection must be served before the earlier of the time specified for compliance or 14 days after the subpoena is served. If an objection is made, the following rules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any time, on notice to the commanded person, the serving party may move the division for an order compelling production 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These acts may be required only as directed in the order, and the order must protect a person who is neither a party nor a party’s officer from significant expense resulting from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Attendance. </w:t>
      </w:r>
      <w:r>
        <w:rPr>
          <w:rFonts w:ascii="Times New Roman" w:hAnsi="Times New Roman"/>
          <w:b w:val="false"/>
          <w:i w:val="false"/>
          <w:color w:val="000000"/>
          <w:sz w:val="22"/>
        </w:rPr>
        <w:t>Any party shall be permitted to attend at the same time and place and for the same purposes specified in the subpoena. No prior notice of intent to attend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Quashing or modifying a subpoena.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When required.</w:t>
      </w:r>
      <w:r>
        <w:rPr>
          <w:rFonts w:ascii="Times New Roman" w:hAnsi="Times New Roman"/>
          <w:b w:val="false"/>
          <w:i w:val="false"/>
          <w:color w:val="000000"/>
          <w:sz w:val="22"/>
        </w:rPr>
        <w:t> On timely motion, the division must quash or modify a subpoena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Fails to allow a reasonable time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Requires a person who is neither a party nor a party’s officer to travel more than 50 miles from where that person resides, is employed, or regularly transacts business in person, except that a person may be ordered to attend trial anywhere within the state in which the person is served with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Requires disclosure of privileged or other protected matter, if no exception or waiver applies;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Subjects a person to undue burden.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When permitted.</w:t>
      </w:r>
      <w:r>
        <w:rPr>
          <w:rFonts w:ascii="Times New Roman" w:hAnsi="Times New Roman"/>
          <w:b w:val="false"/>
          <w:i w:val="false"/>
          <w:color w:val="000000"/>
          <w:sz w:val="22"/>
        </w:rPr>
        <w:t> To protect a person subject to or affected by a subpoena, the division may, on motion, quash or modify the subpoena if it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Disclosing a trade secret or other confidential research, development, or commercial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Disclosing an unretained expert’s opinion or information that does not describe specific occurrences in dispute and results from the expert’s study that was not requested by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who is neither a party nor a party’s officer to incur substantial expense to travel more than 50 miles to attend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Specifying conditions as an alternative.</w:t>
      </w:r>
      <w:r>
        <w:rPr>
          <w:rFonts w:ascii="Times New Roman" w:hAnsi="Times New Roman"/>
          <w:b w:val="false"/>
          <w:i w:val="false"/>
          <w:color w:val="000000"/>
          <w:sz w:val="22"/>
        </w:rPr>
        <w:t xml:space="preserve"> In the circumstances described in subparagraph </w:t>
      </w:r>
      <w:hyperlink r:id="rId17">
        <w:r>
          <w:rPr>
            <w:rStyle w:val="Hyperlink"/>
            <w:rFonts w:ascii="Times New Roman" w:hAnsi="Times New Roman"/>
            <w:b w:val="false"/>
            <w:i w:val="false"/>
            <w:color w:val="000000"/>
            <w:sz w:val="22"/>
          </w:rPr>
          <w:t>10.14(4)</w:t>
        </w:r>
      </w:hyperlink>
      <w:r>
        <w:rPr>
          <w:rFonts w:ascii="Times New Roman" w:hAnsi="Times New Roman"/>
          <w:b w:val="false"/>
          <w:i/>
          <w:color w:val="000000"/>
          <w:sz w:val="22"/>
        </w:rPr>
        <w:t>“d”</w:t>
      </w:r>
      <w:r>
        <w:rPr>
          <w:rFonts w:ascii="Times New Roman" w:hAnsi="Times New Roman"/>
          <w:b w:val="false"/>
          <w:i w:val="false"/>
          <w:color w:val="000000"/>
          <w:sz w:val="22"/>
        </w:rPr>
        <w:t>(2), the division may, instead of quashing or modifying a subpoena, order appearance or production under specified conditions if the serving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Shows a substantial need for the testimony or material that cannot be otherwise met without undue hardship;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Ensures that the subpoenaed person will be reasonably compensated.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10.14(5)</w:t>
      </w:r>
      <w:r>
        <w:rPr>
          <w:rFonts w:ascii="Times New Roman" w:hAnsi="Times New Roman"/>
          <w:b w:val="false"/>
          <w:i w:val="false"/>
          <w:color w:val="000000"/>
          <w:sz w:val="22"/>
        </w:rPr>
        <w:t> </w:t>
      </w:r>
      <w:r>
        <w:rPr>
          <w:rFonts w:ascii="Times New Roman" w:hAnsi="Times New Roman"/>
          <w:b w:val="false"/>
          <w:i/>
          <w:color w:val="000000"/>
          <w:sz w:val="22"/>
        </w:rPr>
        <w:t xml:space="preserve">Duties in responding to a subpoena.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Producing documents or electronically stored information. </w:t>
      </w:r>
      <w:r>
        <w:rPr>
          <w:rFonts w:ascii="Times New Roman" w:hAnsi="Times New Roman"/>
          <w:b w:val="false"/>
          <w:i w:val="false"/>
          <w:color w:val="000000"/>
          <w:sz w:val="22"/>
        </w:rPr>
        <w:t>These procedures apply to producing documents or electronically stored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Documents.</w:t>
      </w:r>
      <w:r>
        <w:rPr>
          <w:rFonts w:ascii="Times New Roman" w:hAnsi="Times New Roman"/>
          <w:b w:val="false"/>
          <w:i w:val="false"/>
          <w:color w:val="000000"/>
          <w:sz w:val="22"/>
        </w:rPr>
        <w:t> A person responding to a subpoena to produce documents must produce them as they are kept in the ordinary course of business or must organize and label them to correspond to the categories in the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Form for producing electronically stored information not specified.</w:t>
      </w:r>
      <w:r>
        <w:rPr>
          <w:rFonts w:ascii="Times New Roman" w:hAnsi="Times New Roman"/>
          <w:b w:val="false"/>
          <w:i w:val="false"/>
          <w:color w:val="000000"/>
          <w:sz w:val="22"/>
        </w:rPr>
        <w:t> If a subpoena does not specify a form for producing electronically stored information, the person responding must produce it in a form or forms in which it is ordinarily maintained or in a reasonably usable form or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Electronically stored information produced in only one form.</w:t>
      </w:r>
      <w:r>
        <w:rPr>
          <w:rFonts w:ascii="Times New Roman" w:hAnsi="Times New Roman"/>
          <w:b w:val="false"/>
          <w:i w:val="false"/>
          <w:color w:val="000000"/>
          <w:sz w:val="22"/>
        </w:rPr>
        <w:t> The person responding need not produce the same electronically stored information in more than one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color w:val="000000"/>
          <w:sz w:val="22"/>
        </w:rPr>
        <w:t>Inaccessible electronically stored information.</w:t>
      </w:r>
      <w:r>
        <w:rPr>
          <w:rFonts w:ascii="Times New Roman" w:hAnsi="Times New Roman"/>
          <w:b w:val="false"/>
          <w:i w:val="false"/>
          <w:color w:val="000000"/>
          <w:sz w:val="22"/>
        </w:rPr>
        <w:t> The person responding need not provide discovery of electronically stored information from sources that the person identifies as not reasonably accessible because of undue burden or cost. On motion to compel discovery or for a protective order, the person responding must show that the information is not reasonably accessible because of undue burden or cost. If that showing is made, the division may nonetheless order discovery from such sources if the requesting party shows good cause. The division may specify conditions for the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privilege or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Information withheld.</w:t>
      </w:r>
      <w:r>
        <w:rPr>
          <w:rFonts w:ascii="Times New Roman" w:hAnsi="Times New Roman"/>
          <w:b w:val="false"/>
          <w:i w:val="false"/>
          <w:color w:val="000000"/>
          <w:sz w:val="22"/>
        </w:rPr>
        <w:t> A person withholding subpoenaed information under a claim that it is privileged or subject to protection as trial-preparation material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Expressly make the claim;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Describe the nature of the withheld documents, communications, or tangible things in a manner that, without revealing information itself privileged or protected, will enable the parties to assess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Information produced.</w:t>
      </w:r>
      <w:r>
        <w:rPr>
          <w:rFonts w:ascii="Times New Roman" w:hAnsi="Times New Roman"/>
          <w:b w:val="false"/>
          <w:i w:val="false"/>
          <w:color w:val="000000"/>
          <w:sz w:val="22"/>
        </w:rPr>
        <w:t> If information produced in response to a subpoena is subject to a claim of privilege or of protection as trial-preparation material, the person making the claim may notify any party that received the information of the claim and the basis for the claim. After being notified, a party must promptly return, sequester, or destroy the specified information and any copies it has; must not use or disclose the information until the claim is resolved; must take reasonable steps to retrieve the information if the party disclosed it before being notified; and may promptly present the information to the court under seal for a determination of the claim. The person who produced the information must preserve the information until the claim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10.14(6)</w:t>
      </w:r>
      <w:r>
        <w:rPr>
          <w:rFonts w:ascii="Times New Roman" w:hAnsi="Times New Roman"/>
          <w:b w:val="false"/>
          <w:i w:val="false"/>
          <w:color w:val="000000"/>
          <w:sz w:val="22"/>
        </w:rPr>
        <w:t> </w:t>
      </w:r>
      <w:r>
        <w:rPr>
          <w:rFonts w:ascii="Times New Roman" w:hAnsi="Times New Roman"/>
          <w:b w:val="false"/>
          <w:i/>
          <w:color w:val="000000"/>
          <w:sz w:val="22"/>
        </w:rPr>
        <w:t xml:space="preserve">Duties of issuer of subpoena; producing copies of materials obtained by subpoena. </w:t>
      </w:r>
      <w:r>
        <w:rPr>
          <w:rFonts w:ascii="Times New Roman" w:hAnsi="Times New Roman"/>
          <w:b w:val="false"/>
          <w:i w:val="false"/>
          <w:color w:val="000000"/>
          <w:sz w:val="22"/>
        </w:rPr>
        <w:t>When a party on whose behalf a subpoena has been issued thereby creates or obtains copies of designated electronically stored information, books, papers, documents or tangible things, that party shall make available a duplicate of such copies at the request of any other party, who shall be responsible for payment of the reasonable cost of making the copies.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481—10.15</w:t>
      </w:r>
      <w:r>
        <w:rPr>
          <w:rFonts w:ascii="Times New Roman" w:hAnsi="Times New Roman"/>
          <w:b/>
          <w:i w:val="false"/>
          <w:color w:val="000000"/>
          <w:sz w:val="22"/>
        </w:rPr>
        <w:t xml:space="preserve">(10A,17A)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val="false"/>
          <w:color w:val="000000"/>
          <w:sz w:val="22"/>
        </w:rPr>
        <w:t>No technical form is required for motions. Any motion for summary judgment shall be filed in compliance with the requirements of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resistance or response to a motion within 14 days after the motion is served unless the time period is extended or shortened by rules of the agency or by order of the division or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 upon the request of any party or upon the presiding officer’s own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10.15(4)</w:t>
      </w:r>
      <w:r>
        <w:rPr>
          <w:rFonts w:ascii="Times New Roman" w:hAnsi="Times New Roman"/>
          <w:b w:val="false"/>
          <w:i w:val="false"/>
          <w:color w:val="000000"/>
          <w:sz w:val="22"/>
        </w:rPr>
        <w:t> </w:t>
      </w:r>
      <w:r>
        <w:rPr>
          <w:rFonts w:ascii="Times New Roman" w:hAnsi="Times New Roman"/>
          <w:b w:val="false"/>
          <w:i w:val="false"/>
          <w:color w:val="000000"/>
          <w:sz w:val="22"/>
        </w:rPr>
        <w:t>Except for good cause, all motions pertaining to the hearing must be filed and served at least ten days prior to the hearing date, unless the time period is shortened or lengthened by order of the presiding officer, or the rules of the agency provide otherwise.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481—10.16</w:t>
      </w:r>
      <w:r>
        <w:rPr>
          <w:rFonts w:ascii="Times New Roman" w:hAnsi="Times New Roman"/>
          <w:b/>
          <w:i w:val="false"/>
          <w:color w:val="000000"/>
          <w:sz w:val="22"/>
        </w:rPr>
        <w:t xml:space="preserve">(10A) </w:t>
      </w:r>
      <w:r>
        <w:rPr>
          <w:rFonts w:ascii="Times New Roman" w:hAnsi="Times New Roman"/>
          <w:b/>
          <w:i w:val="false"/>
          <w:color w:val="000000"/>
          <w:sz w:val="22"/>
        </w:rPr>
        <w:t xml:space="preserve">Continuances.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val="false"/>
          <w:color w:val="000000"/>
          <w:sz w:val="22"/>
        </w:rPr>
        <w:t>A request for continuance shall be made at the earliest opportunity and state the specific reasons for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val="false"/>
          <w:color w:val="000000"/>
          <w:sz w:val="22"/>
        </w:rPr>
        <w:t>No application for continuance will be made or granted ex parte except in an emergency where notice is not feasible. The agency may waive notice of requests for a case or a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10.16(3)</w:t>
      </w:r>
      <w:r>
        <w:rPr>
          <w:rFonts w:ascii="Times New Roman" w:hAnsi="Times New Roman"/>
          <w:b w:val="false"/>
          <w:i w:val="false"/>
          <w:color w:val="000000"/>
          <w:sz w:val="22"/>
        </w:rPr>
        <w:t> </w:t>
      </w:r>
      <w:r>
        <w:rPr>
          <w:rFonts w:ascii="Times New Roman" w:hAnsi="Times New Roman"/>
          <w:b w:val="false"/>
          <w:i w:val="false"/>
          <w:color w:val="000000"/>
          <w:sz w:val="22"/>
        </w:rPr>
        <w:t>Except where otherwise provided, a continuance may be granted at the discretion of the presiding officer. Factors to consider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Existence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Objection to the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state or federal statutes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or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grounds stated in the motion or resistance.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481—10.17</w:t>
      </w:r>
      <w:r>
        <w:rPr>
          <w:rFonts w:ascii="Times New Roman" w:hAnsi="Times New Roman"/>
          <w:b/>
          <w:i w:val="false"/>
          <w:color w:val="000000"/>
          <w:sz w:val="22"/>
        </w:rPr>
        <w:t xml:space="preserve">(10A,17A) </w:t>
      </w:r>
      <w:r>
        <w:rPr>
          <w:rFonts w:ascii="Times New Roman" w:hAnsi="Times New Roman"/>
          <w:b/>
          <w:i w:val="false"/>
          <w:color w:val="000000"/>
          <w:sz w:val="22"/>
        </w:rPr>
        <w:t xml:space="preserve">Withdrawals. </w:t>
      </w:r>
      <w:r>
        <w:rPr>
          <w:rFonts w:ascii="Times New Roman" w:hAnsi="Times New Roman"/>
          <w:b w:val="false"/>
          <w:i w:val="false"/>
          <w:color w:val="000000"/>
          <w:sz w:val="22"/>
        </w:rPr>
        <w:t>The party that requested the contested case may move to withdraw the party’s request for a hearing at any time prior to the hearing. The ALJ may require the party to submit a written request after an oral request. Unless otherwise provided, a withdrawal shall be with prejudice.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481—10.18</w:t>
      </w:r>
      <w:r>
        <w:rPr>
          <w:rFonts w:ascii="Times New Roman" w:hAnsi="Times New Roman"/>
          <w:b/>
          <w:i w:val="false"/>
          <w:color w:val="000000"/>
          <w:sz w:val="22"/>
        </w:rPr>
        <w:t xml:space="preserve">(10A,17A)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must be filed as early in the proceeding as possible and must state the grounds for the proposed intervention, the position and interest of the proposed intervenor, and the possible impact of intervention on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at least 20 days before the hearing. Any later motion must contain a statement of good cause for the failure to file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must demonstrate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Intervention would not unduly prolong the proceedings or otherwise prejudice the rights of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movant will be aggrieved or adversely affected by a final 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interests of the movant are not being adequately represented by existing parties; or that it is otherwise entitled to intervene.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A person granted leave to intervene is a party to the proceeding. The order granting intervention may restrict the issues to be raised or otherwise condition the intervenor’s participation in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481—10.19</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val="false"/>
          <w:color w:val="000000"/>
          <w:sz w:val="22"/>
        </w:rPr>
        <w:t>When an ALJ has been appointed as the presiding officer in a contested case, the ALJ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Rule on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Preside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 the parties to submit briefs;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the record is fully and fairly developed by inquiring into matters at issue;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Issue orders and rulings to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val="false"/>
          <w:color w:val="000000"/>
          <w:sz w:val="22"/>
        </w:rPr>
        <w:t>All objections to procedures, admission of evidence, or any other matter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10.19(3)</w:t>
      </w:r>
      <w:r>
        <w:rPr>
          <w:rFonts w:ascii="Times New Roman" w:hAnsi="Times New Roman"/>
          <w:b w:val="false"/>
          <w:i w:val="false"/>
          <w:color w:val="000000"/>
          <w:sz w:val="22"/>
        </w:rPr>
        <w:t> </w:t>
      </w:r>
      <w:r>
        <w:rPr>
          <w:rFonts w:ascii="Times New Roman" w:hAnsi="Times New Roman"/>
          <w:b w:val="false"/>
          <w:i w:val="false"/>
          <w:color w:val="000000"/>
          <w:sz w:val="22"/>
        </w:rPr>
        <w:t>Parties in a contested case have the right to participate or to be represented in all hearings or prehearing conferences related to their case. Agencies or partnerships, corporations or associations may be represented by any member, officer, director, or duly authorized agent. Any party may be represented by an attorney or 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10.19(4)</w:t>
      </w:r>
      <w:r>
        <w:rPr>
          <w:rFonts w:ascii="Times New Roman" w:hAnsi="Times New Roman"/>
          <w:b w:val="false"/>
          <w:i w:val="false"/>
          <w:color w:val="000000"/>
          <w:sz w:val="22"/>
        </w:rPr>
        <w:t> </w:t>
      </w:r>
      <w:r>
        <w:rPr>
          <w:rFonts w:ascii="Times New Roman" w:hAnsi="Times New Roman"/>
          <w:b w:val="false"/>
          <w:i w:val="false"/>
          <w:color w:val="000000"/>
          <w:sz w:val="22"/>
        </w:rPr>
        <w:t>Parties in a contested case have the right to introduce evidence on points at issue, to cross-examine witnesses, and to present evidence in rebuttal.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10.19(5)</w:t>
      </w:r>
      <w:r>
        <w:rPr>
          <w:rFonts w:ascii="Times New Roman" w:hAnsi="Times New Roman"/>
          <w:b w:val="false"/>
          <w:i w:val="false"/>
          <w:color w:val="000000"/>
          <w:sz w:val="22"/>
        </w:rPr>
        <w:t> </w:t>
      </w:r>
      <w:r>
        <w:rPr>
          <w:rFonts w:ascii="Times New Roman" w:hAnsi="Times New Roman"/>
          <w:b w:val="false"/>
          <w:i w:val="false"/>
          <w:color w:val="000000"/>
          <w:sz w:val="22"/>
        </w:rPr>
        <w:t>The ALJ shall maintain the decorum of the hearing and may refuse to admit or may expel anyone whose conduct is disorderly or disruptive.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10.19(7)</w:t>
      </w:r>
      <w:r>
        <w:rPr>
          <w:rFonts w:ascii="Times New Roman" w:hAnsi="Times New Roman"/>
          <w:b w:val="false"/>
          <w:i w:val="false"/>
          <w:color w:val="000000"/>
          <w:sz w:val="22"/>
        </w:rPr>
        <w:t> </w:t>
      </w:r>
      <w:r>
        <w:rPr>
          <w:rFonts w:ascii="Times New Roman" w:hAnsi="Times New Roman"/>
          <w:b w:val="false"/>
          <w:i w:val="false"/>
          <w:color w:val="000000"/>
          <w:sz w:val="22"/>
        </w:rPr>
        <w:t>The ALJ may allow the parties to make opening statements and closing arguments and may determine the order of presentation of evidence. Each witness shall be sworn or affirmed by the ALJ and be subject to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481—10.20</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take official notice of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10.20(3)</w:t>
      </w:r>
      <w:r>
        <w:rPr>
          <w:rFonts w:ascii="Times New Roman" w:hAnsi="Times New Roman"/>
          <w:b w:val="false"/>
          <w:i w:val="false"/>
          <w:color w:val="000000"/>
          <w:sz w:val="22"/>
        </w:rPr>
        <w:t> </w:t>
      </w:r>
      <w:r>
        <w:rPr>
          <w:rFonts w:ascii="Times New Roman" w:hAnsi="Times New Roman"/>
          <w:b w:val="false"/>
          <w:i w:val="false"/>
          <w:color w:val="000000"/>
          <w:sz w:val="22"/>
        </w:rPr>
        <w:t>Evidence shall be confined to the issues on which there has been fair notice prior to the hearing. The presiding officer may take testimony on a new issue if the parties waive the right to notice and no other objection is made. If there is objection, the presiding officer may refuse to hear the new issue and may make a decision on the original issue in the notice or may grant a continuance to allow the parties adequate time to amend pleadings and prepare their cases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10.20(4)</w:t>
      </w:r>
      <w:r>
        <w:rPr>
          <w:rFonts w:ascii="Times New Roman" w:hAnsi="Times New Roman"/>
          <w:b w:val="false"/>
          <w:i w:val="false"/>
          <w:color w:val="000000"/>
          <w:sz w:val="22"/>
        </w:rPr>
        <w:t> </w:t>
      </w:r>
      <w:r>
        <w:rPr>
          <w:rFonts w:ascii="Times New Roman" w:hAnsi="Times New Roman"/>
          <w:b w:val="false"/>
          <w:i w:val="false"/>
          <w:color w:val="000000"/>
          <w:sz w:val="22"/>
        </w:rPr>
        <w:t>Exhibits and a list of witnesses must be submitted to all parties and the presiding officer prior to the hearing as set forth in the notice of hearing or other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10.20(5)</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on the record but need not actually examine that witness. If the evidence excluded consists of a document or exhibits, it shall be marked as part of an offer of proof and inserted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481—10.21</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in a contested case proceeding or prehearing conference after proper service of notice, the presiding officer may either find the party to be in default or, if no adjournment is granted,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an evidentiary hearing to contest adverse agency action that has already occurred but has failed to file a required pleading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against whom a default has been entered may move to vacate the default decision within 14 days following the issuance of the order. Good cause to vacate a default decision means mistake, inadvertence, surprise, excusable neglect, or unavoidable casualty as provided in Iowa </w:t>
      </w:r>
      <w:r>
        <w:rPr>
          <w:rFonts w:ascii="Times New Roman" w:hAnsi="Times New Roman"/>
          <w:b w:val="false"/>
          <w:i w:val="false"/>
          <w:color w:val="000000"/>
          <w:sz w:val="22"/>
        </w:rPr>
        <w:t>Rule of Civil Procedure 1.977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481—10.22</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w:t>
      </w:r>
      <w:r>
        <w:rPr>
          <w:rFonts w:ascii="Times New Roman" w:hAnsi="Times New Roman"/>
          <w:b w:val="false"/>
          <w:i w:val="false"/>
          <w:color w:val="000000"/>
          <w:sz w:val="22"/>
        </w:rPr>
        <w:t> </w:t>
      </w:r>
      <w:r>
        <w:rPr>
          <w:rFonts w:ascii="Times New Roman" w:hAnsi="Times New Roman"/>
          <w:b w:val="false"/>
          <w:i w:val="false"/>
          <w:color w:val="000000"/>
          <w:sz w:val="22"/>
        </w:rPr>
        <w:t xml:space="preserve">Ex parte communications are those communications, oral or written, to an ALJ or other decision-maker in a contested case without notice and an opportunity for all parties to be heard. Ex parte communication is prohibited except as provided in Iowa Code section </w:t>
      </w:r>
      <w:hyperlink r:id="rId18">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or as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w:t>
      </w:r>
      <w:r>
        <w:rPr>
          <w:rFonts w:ascii="Times New Roman" w:hAnsi="Times New Roman"/>
          <w:b w:val="false"/>
          <w:i w:val="false"/>
          <w:color w:val="000000"/>
          <w:sz w:val="22"/>
        </w:rPr>
        <w:t> </w:t>
      </w:r>
      <w:r>
        <w:rPr>
          <w:rFonts w:ascii="Times New Roman" w:hAnsi="Times New Roman"/>
          <w:b w:val="false"/>
          <w:i w:val="false"/>
          <w:color w:val="000000"/>
          <w:sz w:val="22"/>
        </w:rPr>
        <w:t>Any presiding officer who receives prohibited communication shall submit the written communication or a summary of the oral communication for inclusion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w:t>
      </w:r>
      <w:r>
        <w:rPr>
          <w:rFonts w:ascii="Times New Roman" w:hAnsi="Times New Roman"/>
          <w:b/>
          <w:i w:val="false"/>
          <w:color w:val="000000"/>
          <w:sz w:val="22"/>
        </w:rPr>
        <w:t xml:space="preserve">(10A,17A) </w:t>
      </w:r>
      <w:r>
        <w:rPr>
          <w:rFonts w:ascii="Times New Roman" w:hAnsi="Times New Roman"/>
          <w:b/>
          <w:i w:val="false"/>
          <w:color w:val="000000"/>
          <w:sz w:val="22"/>
        </w:rPr>
        <w:t xml:space="preserve">ALJ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decisions. </w:t>
      </w:r>
      <w:r>
        <w:rPr>
          <w:rFonts w:ascii="Times New Roman" w:hAnsi="Times New Roman"/>
          <w:b w:val="false"/>
          <w:i w:val="false"/>
          <w:color w:val="000000"/>
          <w:sz w:val="22"/>
        </w:rPr>
        <w:t>Except as otherwise provided by law, when the agency did not preside at the reception of evidence, the ALJ shall issue a proposed decision based on the record of the contested case that includes findings of fact and conclusions of law stated separately. A ruling dismissing all of a party’s claims or a voluntary agency dismissal is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The record in a contested case shall include all materials specified in Iowa Code section </w:t>
      </w:r>
      <w:hyperlink r:id="rId19">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 any request for a contested case hearing, and other relevant procedural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w:t>
      </w:r>
      <w:r>
        <w:rPr>
          <w:rFonts w:ascii="Times New Roman" w:hAnsi="Times New Roman"/>
          <w:b w:val="false"/>
          <w:i w:val="false"/>
          <w:color w:val="000000"/>
          <w:sz w:val="22"/>
        </w:rPr>
        <w:t> </w:t>
      </w:r>
      <w:r>
        <w:rPr>
          <w:rFonts w:ascii="Times New Roman" w:hAnsi="Times New Roman"/>
          <w:b w:val="false"/>
          <w:i/>
          <w:color w:val="000000"/>
          <w:sz w:val="22"/>
        </w:rPr>
        <w:t xml:space="preserve">Review of proposed decisions. </w:t>
      </w:r>
      <w:r>
        <w:rPr>
          <w:rFonts w:ascii="Times New Roman" w:hAnsi="Times New Roman"/>
          <w:b w:val="false"/>
          <w:i w:val="false"/>
          <w:color w:val="000000"/>
          <w:sz w:val="22"/>
        </w:rPr>
        <w:t xml:space="preserve">Request for review of a proposed decision shall be made to the agency in which the contested case originated in the manner and within the time specified by that agency’s rules. In contested cases in which the director of DIAL has final decision-making authority, request for review shall be made as provided in rule </w:t>
      </w:r>
      <w:hyperlink r:id="rId20">
        <w:r>
          <w:rPr>
            <w:rStyle w:val="Hyperlink"/>
            <w:rFonts w:ascii="Times New Roman" w:hAnsi="Times New Roman"/>
            <w:b w:val="false"/>
            <w:i w:val="false"/>
            <w:color w:val="000000"/>
            <w:sz w:val="22"/>
          </w:rPr>
          <w:t>7—2506.27(17A)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w:t>
      </w:r>
      <w:r>
        <w:rPr>
          <w:rFonts w:ascii="Times New Roman" w:hAnsi="Times New Roman"/>
          <w:b w:val="false"/>
          <w:i w:val="false"/>
          <w:color w:val="000000"/>
          <w:sz w:val="22"/>
        </w:rPr>
        <w:t> </w:t>
      </w:r>
      <w:r>
        <w:rPr>
          <w:rFonts w:ascii="Times New Roman" w:hAnsi="Times New Roman"/>
          <w:b w:val="false"/>
          <w:i/>
          <w:color w:val="000000"/>
          <w:sz w:val="22"/>
        </w:rPr>
        <w:t xml:space="preserve">Final decisions. </w:t>
      </w:r>
      <w:r>
        <w:rPr>
          <w:rFonts w:ascii="Times New Roman" w:hAnsi="Times New Roman"/>
          <w:b w:val="false"/>
          <w:i w:val="false"/>
          <w:color w:val="000000"/>
          <w:sz w:val="22"/>
        </w:rPr>
        <w:t>If there is no appeal from or review of the proposed decision, the ALJ’s proposed decision becomes the final decision of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481—10.24</w:t>
      </w:r>
      <w:r>
        <w:rPr>
          <w:rFonts w:ascii="Times New Roman" w:hAnsi="Times New Roman"/>
          <w:b/>
          <w:i w:val="false"/>
          <w:color w:val="000000"/>
          <w:sz w:val="22"/>
        </w:rPr>
        <w:t xml:space="preserve">(10A,17A,272C) </w:t>
      </w:r>
      <w:r>
        <w:rPr>
          <w:rFonts w:ascii="Times New Roman" w:hAnsi="Times New Roman"/>
          <w:b/>
          <w:i w:val="false"/>
          <w:color w:val="000000"/>
          <w:sz w:val="22"/>
        </w:rPr>
        <w:t xml:space="preserve">Board hearings. </w:t>
      </w:r>
      <w:r>
        <w:rPr>
          <w:rFonts w:ascii="Times New Roman" w:hAnsi="Times New Roman"/>
          <w:b w:val="false"/>
          <w:i w:val="false"/>
          <w:color w:val="000000"/>
          <w:sz w:val="22"/>
        </w:rPr>
        <w:t>Boards may request an ALJ from the division to assist in conducting contested case hearings and other related prehearing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w:t>
      </w:r>
      <w:r>
        <w:rPr>
          <w:rFonts w:ascii="Times New Roman" w:hAnsi="Times New Roman"/>
          <w:b w:val="false"/>
          <w:i w:val="false"/>
          <w:color w:val="000000"/>
          <w:sz w:val="22"/>
        </w:rPr>
        <w:t> </w:t>
      </w:r>
      <w:r>
        <w:rPr>
          <w:rFonts w:ascii="Times New Roman" w:hAnsi="Times New Roman"/>
          <w:b w:val="false"/>
          <w:i w:val="false"/>
          <w:color w:val="000000"/>
          <w:sz w:val="22"/>
        </w:rPr>
        <w:t>In scheduling hearings, boards will consult with the division to determine the availability of an ALJ. The board will determine the time and place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w:t>
      </w:r>
      <w:r>
        <w:rPr>
          <w:rFonts w:ascii="Times New Roman" w:hAnsi="Times New Roman"/>
          <w:b w:val="false"/>
          <w:i w:val="false"/>
          <w:color w:val="000000"/>
          <w:sz w:val="22"/>
        </w:rPr>
        <w:t> </w:t>
      </w:r>
      <w:r>
        <w:rPr>
          <w:rFonts w:ascii="Times New Roman" w:hAnsi="Times New Roman"/>
          <w:b w:val="false"/>
          <w:i/>
          <w:color w:val="000000"/>
          <w:sz w:val="22"/>
        </w:rPr>
        <w:t xml:space="preserve">Review of proposed decisions. </w:t>
      </w:r>
      <w:r>
        <w:rPr>
          <w:rFonts w:ascii="Times New Roman" w:hAnsi="Times New Roman"/>
          <w:b w:val="false"/>
          <w:i w:val="false"/>
          <w:color w:val="000000"/>
          <w:sz w:val="22"/>
        </w:rPr>
        <w:t xml:space="preserve">Request for review of a proposed decision shall be made to the agency in which the contested case originated in the manner and within the time specified by that agency’s rules. In contested cases in which the director of the department of inspections and appeals has final decision-making authority, request for review shall be made as provided in rule </w:t>
      </w:r>
      <w:hyperlink r:id="rId21">
        <w:r>
          <w:rPr>
            <w:rStyle w:val="Hyperlink"/>
            <w:rFonts w:ascii="Times New Roman" w:hAnsi="Times New Roman"/>
            <w:b w:val="false"/>
            <w:i w:val="false"/>
            <w:color w:val="000000"/>
            <w:sz w:val="22"/>
          </w:rPr>
          <w:t>7—2506.27(17A)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10.24(3)</w:t>
      </w:r>
      <w:r>
        <w:rPr>
          <w:rFonts w:ascii="Times New Roman" w:hAnsi="Times New Roman"/>
          <w:b w:val="false"/>
          <w:i w:val="false"/>
          <w:color w:val="000000"/>
          <w:sz w:val="22"/>
        </w:rPr>
        <w:t> </w:t>
      </w:r>
      <w:r>
        <w:rPr>
          <w:rFonts w:ascii="Times New Roman" w:hAnsi="Times New Roman"/>
          <w:b w:val="false"/>
          <w:i w:val="false"/>
          <w:color w:val="000000"/>
          <w:sz w:val="22"/>
        </w:rPr>
        <w:t>The ALJ may assist in conducting the hearing for the board and may, when delegated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Open the record and receive appearances;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Administer oaths;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Issue subpoenas;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Receive testimony and exhibits presented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Rule on objections and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Close the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Prepare decisions and orders as directed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481—10.25</w:t>
      </w:r>
      <w:r>
        <w:rPr>
          <w:rFonts w:ascii="Times New Roman" w:hAnsi="Times New Roman"/>
          <w:b/>
          <w:i w:val="false"/>
          <w:color w:val="000000"/>
          <w:sz w:val="22"/>
        </w:rPr>
        <w:t xml:space="preserve">(10A) </w:t>
      </w:r>
      <w:r>
        <w:rPr>
          <w:rFonts w:ascii="Times New Roman" w:hAnsi="Times New Roman"/>
          <w:b/>
          <w:i w:val="false"/>
          <w:color w:val="000000"/>
          <w:sz w:val="22"/>
        </w:rPr>
        <w:t xml:space="preserve">Recordings. </w:t>
      </w:r>
      <w:r>
        <w:rPr>
          <w:rFonts w:ascii="Times New Roman" w:hAnsi="Times New Roman"/>
          <w:b w:val="false"/>
          <w:i w:val="false"/>
          <w:color w:val="000000"/>
          <w:sz w:val="22"/>
        </w:rPr>
        <w:t>The division shall record each hearing or other formal proceeding by any mechanized means. The division may provide a copy of the audio recording to any party to a pending proceeding upon request. Parties may arrange for a hearing to be recorded by certified shorthand reporters but shall bear the cost unless otherwise provided by law. Parties are to alert the division prior to the hearing if a reporter has been engaged.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481—10.26</w:t>
      </w:r>
      <w:r>
        <w:rPr>
          <w:rFonts w:ascii="Times New Roman" w:hAnsi="Times New Roman"/>
          <w:b/>
          <w:i w:val="false"/>
          <w:color w:val="000000"/>
          <w:sz w:val="22"/>
        </w:rPr>
        <w:t xml:space="preserve">(10A) </w:t>
      </w:r>
      <w:r>
        <w:rPr>
          <w:rFonts w:ascii="Times New Roman" w:hAnsi="Times New Roman"/>
          <w:b/>
          <w:i w:val="false"/>
          <w:color w:val="000000"/>
          <w:sz w:val="22"/>
        </w:rPr>
        <w:t xml:space="preserve">Agency reporting requirements. </w:t>
      </w:r>
      <w:r>
        <w:rPr>
          <w:rFonts w:ascii="Times New Roman" w:hAnsi="Times New Roman"/>
          <w:b w:val="false"/>
          <w:i w:val="false"/>
          <w:color w:val="000000"/>
          <w:sz w:val="22"/>
        </w:rPr>
        <w:t>Agencies and boards shall notify and provide copies to the division of any final agency decision, petition for judicial review, and ruling on judicial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481—10.27</w:t>
      </w:r>
      <w:r>
        <w:rPr>
          <w:rFonts w:ascii="Times New Roman" w:hAnsi="Times New Roman"/>
          <w:b/>
          <w:i w:val="false"/>
          <w:color w:val="000000"/>
          <w:sz w:val="22"/>
        </w:rPr>
        <w:t xml:space="preserve">(724) </w:t>
      </w:r>
      <w:r>
        <w:rPr>
          <w:rFonts w:ascii="Times New Roman" w:hAnsi="Times New Roman"/>
          <w:b/>
          <w:i w:val="false"/>
          <w:color w:val="000000"/>
          <w:sz w:val="22"/>
        </w:rPr>
        <w:t xml:space="preserve">Appeals in cases involving permits to carry weapons and acquire firearms. </w:t>
      </w:r>
      <w:r>
        <w:rPr>
          <w:rFonts w:ascii="Times New Roman" w:hAnsi="Times New Roman"/>
          <w:b w:val="false"/>
          <w:i w:val="false"/>
          <w:color w:val="000000"/>
          <w:sz w:val="22"/>
        </w:rPr>
        <w:t xml:space="preserve">An applicant or permittee may appeal a decision to deny an application for a permit to carry weapons or acquire firearms or to suspend or revoke a permit to carry weapons or acquire firearms pursuant to Iowa Code section </w:t>
      </w:r>
      <w:hyperlink r:id="rId22">
        <w:r>
          <w:rPr>
            <w:rStyle w:val="Hyperlink"/>
            <w:rFonts w:ascii="Times New Roman" w:hAnsi="Times New Roman"/>
            <w:b w:val="false"/>
            <w:i w:val="false"/>
            <w:color w:val="000000"/>
            <w:sz w:val="22"/>
          </w:rPr>
          <w:t>724.21A</w:t>
        </w:r>
      </w:hyperlink>
      <w:r>
        <w:rPr>
          <w:rFonts w:ascii="Times New Roman" w:hAnsi="Times New Roman"/>
          <w:b w:val="false"/>
          <w:i w:val="false"/>
          <w:color w:val="000000"/>
          <w:sz w:val="22"/>
        </w:rPr>
        <w:t xml:space="preserve"> and this chapter. To the extent this rule is inconsistent with the other provisions of this chapter, this rule will govern such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the commissioner of public safety or the sheriff of the county in which the aggrieved party resides.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applied for a permit to carry weapons or acquire firearms.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“Permittee”</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received a permit to carry weapons or acquire firearms.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10.27(2)</w:t>
      </w:r>
      <w:r>
        <w:rPr>
          <w:rFonts w:ascii="Times New Roman" w:hAnsi="Times New Roman"/>
          <w:b w:val="false"/>
          <w:i w:val="false"/>
          <w:color w:val="000000"/>
          <w:sz w:val="22"/>
        </w:rPr>
        <w:t> </w:t>
      </w:r>
      <w:r>
        <w:rPr>
          <w:rFonts w:ascii="Times New Roman" w:hAnsi="Times New Roman"/>
          <w:b w:val="false"/>
          <w:i/>
          <w:color w:val="000000"/>
          <w:sz w:val="22"/>
        </w:rPr>
        <w:t xml:space="preserve">Filing of appeal. </w:t>
      </w:r>
      <w:r>
        <w:rPr>
          <w:rFonts w:ascii="Times New Roman" w:hAnsi="Times New Roman"/>
          <w:b w:val="false"/>
          <w:i w:val="false"/>
          <w:color w:val="000000"/>
          <w:sz w:val="22"/>
        </w:rPr>
        <w:t xml:space="preserve">Within 30 days of the applicant’s or permittee’s receipt of the agency’s decision, the applicant or permittee shall file the written appeal, a copy of the agency’s written decision, and a fee of $10 with the Iowa Department of Inspections, Appeals, and Licensing, Division of Administrative Hearings, 6200 Park Avenue, Suite 100, Des Moines, Iowa 50321, or electronically pursuant to </w:t>
      </w:r>
      <w:hyperlink r:id="rId23">
        <w:r>
          <w:rPr>
            <w:rStyle w:val="Hyperlink"/>
            <w:rFonts w:ascii="Times New Roman" w:hAnsi="Times New Roman"/>
            <w:b w:val="false"/>
            <w:i w:val="false"/>
            <w:color w:val="000000"/>
            <w:sz w:val="22"/>
          </w:rPr>
          <w:t>481—Chapter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10.27(3)</w:t>
      </w:r>
      <w:r>
        <w:rPr>
          <w:rFonts w:ascii="Times New Roman" w:hAnsi="Times New Roman"/>
          <w:b w:val="false"/>
          <w:i w:val="false"/>
          <w:color w:val="000000"/>
          <w:sz w:val="22"/>
        </w:rPr>
        <w:t> </w:t>
      </w:r>
      <w:r>
        <w:rPr>
          <w:rFonts w:ascii="Times New Roman" w:hAnsi="Times New Roman"/>
          <w:b w:val="false"/>
          <w:i/>
          <w:color w:val="000000"/>
          <w:sz w:val="22"/>
        </w:rPr>
        <w:t xml:space="preserve">Service on the agency. </w:t>
      </w:r>
      <w:r>
        <w:rPr>
          <w:rFonts w:ascii="Times New Roman" w:hAnsi="Times New Roman"/>
          <w:b w:val="false"/>
          <w:i w:val="false"/>
          <w:color w:val="000000"/>
          <w:sz w:val="22"/>
        </w:rPr>
        <w:t>At the time the appeal is filed with the division, the applicant or permittee shall serve a copy of the appeal on the agency that made the decision on the permit to carry weapons or acquire firearms.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10.27(4)</w:t>
      </w:r>
      <w:r>
        <w:rPr>
          <w:rFonts w:ascii="Times New Roman" w:hAnsi="Times New Roman"/>
          <w:b w:val="false"/>
          <w:i w:val="false"/>
          <w:color w:val="000000"/>
          <w:sz w:val="22"/>
        </w:rPr>
        <w:t> </w:t>
      </w:r>
      <w:r>
        <w:rPr>
          <w:rFonts w:ascii="Times New Roman" w:hAnsi="Times New Roman"/>
          <w:b w:val="false"/>
          <w:i/>
          <w:color w:val="000000"/>
          <w:sz w:val="22"/>
        </w:rPr>
        <w:t xml:space="preserve">Denial of appeal. </w:t>
      </w:r>
      <w:r>
        <w:rPr>
          <w:rFonts w:ascii="Times New Roman" w:hAnsi="Times New Roman"/>
          <w:b w:val="false"/>
          <w:i w:val="false"/>
          <w:color w:val="000000"/>
          <w:sz w:val="22"/>
        </w:rPr>
        <w:t xml:space="preserve">The division may deny any appeal that does not meet the requirements in subrules </w:t>
      </w:r>
      <w:hyperlink r:id="rId24">
        <w:r>
          <w:rPr>
            <w:rStyle w:val="Hyperlink"/>
            <w:rFonts w:ascii="Times New Roman" w:hAnsi="Times New Roman"/>
            <w:b w:val="false"/>
            <w:i w:val="false"/>
            <w:color w:val="000000"/>
            <w:sz w:val="22"/>
          </w:rPr>
          <w:t>10.27(2)</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10.27(3)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10.27(5)</w:t>
      </w:r>
      <w:r>
        <w:rPr>
          <w:rFonts w:ascii="Times New Roman" w:hAnsi="Times New Roman"/>
          <w:b w:val="false"/>
          <w:i w:val="false"/>
          <w:color w:val="000000"/>
          <w:sz w:val="22"/>
        </w:rPr>
        <w:t> </w:t>
      </w:r>
      <w:r>
        <w:rPr>
          <w:rFonts w:ascii="Times New Roman" w:hAnsi="Times New Roman"/>
          <w:b w:val="false"/>
          <w:i/>
          <w:color w:val="000000"/>
          <w:sz w:val="22"/>
        </w:rPr>
        <w:t xml:space="preserve">Agency record. </w:t>
      </w:r>
      <w:r>
        <w:rPr>
          <w:rFonts w:ascii="Times New Roman" w:hAnsi="Times New Roman"/>
          <w:b w:val="false"/>
          <w:i w:val="false"/>
          <w:color w:val="000000"/>
          <w:sz w:val="22"/>
        </w:rPr>
        <w:t>Upon receipt of a copy of the notice of hearing, the agency shall file with the division and send to the applicant or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all documents used by the agency in reaching the decision;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form identifying the name, address, email address, and telephone number of the agency’s contact person or attorney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10.27(6)</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 xml:space="preserve">In addition to the information set forth in Iowa Code section </w:t>
      </w:r>
      <w:hyperlink r:id="rId26">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xml:space="preserve"> and rule </w:t>
      </w:r>
      <w:hyperlink r:id="rId27">
        <w:r>
          <w:rPr>
            <w:rStyle w:val="Hyperlink"/>
            <w:rFonts w:ascii="Times New Roman" w:hAnsi="Times New Roman"/>
            <w:b w:val="false"/>
            <w:i w:val="false"/>
            <w:color w:val="000000"/>
            <w:sz w:val="22"/>
          </w:rPr>
          <w:t>481—10.6</w:t>
        </w:r>
      </w:hyperlink>
      <w:r>
        <w:rPr>
          <w:rFonts w:ascii="Times New Roman" w:hAnsi="Times New Roman"/>
          <w:b w:val="false"/>
          <w:i w:val="false"/>
          <w:color w:val="000000"/>
          <w:sz w:val="22"/>
        </w:rPr>
        <w:t>(17A), 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that failure to appear and participate in the contested case proceeding may result in the entry of a default judgment;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that court costs and reasonable attorney fees will be awarded pursuant to Iowa Code section </w:t>
      </w:r>
      <w:hyperlink r:id="rId28">
        <w:r>
          <w:rPr>
            <w:rStyle w:val="Hyperlink"/>
            <w:rFonts w:ascii="Times New Roman" w:hAnsi="Times New Roman"/>
            <w:b w:val="false"/>
            <w:i w:val="false"/>
            <w:color w:val="000000"/>
            <w:sz w:val="22"/>
          </w:rPr>
          <w:t>724.21A(8)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10.27(7)</w:t>
      </w:r>
      <w:r>
        <w:rPr>
          <w:rFonts w:ascii="Times New Roman" w:hAnsi="Times New Roman"/>
          <w:b w:val="false"/>
          <w:i w:val="false"/>
          <w:color w:val="000000"/>
          <w:sz w:val="22"/>
        </w:rPr>
        <w:t> </w:t>
      </w:r>
      <w:r>
        <w:rPr>
          <w:rFonts w:ascii="Times New Roman" w:hAnsi="Times New Roman"/>
          <w:b w:val="false"/>
          <w:i/>
          <w:color w:val="000000"/>
          <w:sz w:val="22"/>
        </w:rPr>
        <w:t xml:space="preserve">Attorney fees, court costs, and contested case costs. </w:t>
      </w:r>
      <w:r>
        <w:rPr>
          <w:rFonts w:ascii="Times New Roman" w:hAnsi="Times New Roman"/>
          <w:b w:val="false"/>
          <w:i w:val="false"/>
          <w:color w:val="000000"/>
          <w:sz w:val="22"/>
        </w:rPr>
        <w:t xml:space="preserve">An applicant or permittee or an agency may be eligible for an award of reasonable attorney fees pursuant to Iowa Code section </w:t>
      </w:r>
      <w:hyperlink r:id="rId29">
        <w:r>
          <w:rPr>
            <w:rStyle w:val="Hyperlink"/>
            <w:rFonts w:ascii="Times New Roman" w:hAnsi="Times New Roman"/>
            <w:b w:val="false"/>
            <w:i w:val="false"/>
            <w:color w:val="000000"/>
            <w:sz w:val="22"/>
          </w:rPr>
          <w:t>724.21A(8)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14 days of the date of the ALJ’s decision, a party may seek an award of attorney fees by filing with the division a request and documentation supporting the request. A resistance to the request for attorney fees must be filed within seven days of the filing of the request. Upon request of either party or on the ALJ’s own motion, a hearing may be scheduled on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award of attorney fees shall be paid within 30 days of the issuance of the order unless an interested party seeks rehearing or judicial review or the parties agree to an alternative payment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ALJ’s decision is not final for purposes of judicial review under Iowa Code chapter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until the ALJ has issued a written decision determining the amount of any attorney fees to be awarded under this subrule or determining that no attorney fees are to be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Costs of the division in conducting a contested case proceeding arising out of a decision of the commissioner of public safety shall be charged to the department of public safety pursuant to Iowa Code section </w:t>
      </w:r>
      <w:hyperlink r:id="rId31">
        <w:r>
          <w:rPr>
            <w:rStyle w:val="Hyperlink"/>
            <w:rFonts w:ascii="Times New Roman" w:hAnsi="Times New Roman"/>
            <w:b w:val="false"/>
            <w:i w:val="false"/>
            <w:color w:val="000000"/>
            <w:sz w:val="22"/>
          </w:rPr>
          <w:t>10A.801(9)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2">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724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2/6/87, Notice 10/8/86—published 2/25/87, effective 4/1/87]</w:t>
      </w:r>
    </w:p>
    <w:p>
      <w:pPr>
        <w:spacing w:before="0" w:after="0"/>
        <w:ind w:left="120"/>
        <w:jc w:val="center"/>
      </w:pPr>
      <w:r>
        <w:rPr>
          <w:rFonts w:ascii="Times New Roman" w:hAnsi="Times New Roman"/>
          <w:b w:val="false"/>
          <w:i w:val="false"/>
          <w:color w:val="000000"/>
          <w:sz w:val="21"/>
        </w:rPr>
        <w:t>[Filed without Notice 3/26/87—published 4/22/87, effective 5/27/87]</w:t>
      </w:r>
    </w:p>
    <w:p>
      <w:pPr>
        <w:spacing w:before="0" w:after="0"/>
        <w:ind w:left="120"/>
        <w:jc w:val="center"/>
      </w:pPr>
      <w:r>
        <w:rPr>
          <w:rFonts w:ascii="Times New Roman" w:hAnsi="Times New Roman"/>
          <w:b w:val="false"/>
          <w:i w:val="false"/>
          <w:color w:val="000000"/>
          <w:sz w:val="21"/>
        </w:rPr>
        <w:t>[Filed 1/22/88, Notice 12/16/87—published 2/10/88, effective 3/16/88]</w:t>
      </w:r>
    </w:p>
    <w:p>
      <w:pPr>
        <w:spacing w:before="0" w:after="0"/>
        <w:ind w:left="120"/>
        <w:jc w:val="center"/>
      </w:pPr>
      <w:r>
        <w:rPr>
          <w:rFonts w:ascii="Times New Roman" w:hAnsi="Times New Roman"/>
          <w:b w:val="false"/>
          <w:i w:val="false"/>
          <w:color w:val="000000"/>
          <w:sz w:val="21"/>
        </w:rPr>
        <w:t>[Filed 4/26/90, Notice 1/24/90—published 5/16/90, effective 6/20/90]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8/1/90—published 8/22/90, effective 8/1/90]</w:t>
      </w:r>
    </w:p>
    <w:p>
      <w:pPr>
        <w:spacing w:before="0" w:after="0"/>
        <w:ind w:left="120"/>
        <w:jc w:val="center"/>
      </w:pPr>
      <w:r>
        <w:rPr>
          <w:rFonts w:ascii="Times New Roman" w:hAnsi="Times New Roman"/>
          <w:b w:val="false"/>
          <w:i w:val="false"/>
          <w:color w:val="000000"/>
          <w:sz w:val="21"/>
        </w:rPr>
        <w:t>[Filed emergency 9/27/96—published 10/23/96, effective 9/27/96]</w:t>
      </w:r>
    </w:p>
    <w:p>
      <w:pPr>
        <w:spacing w:before="0" w:after="0"/>
        <w:ind w:left="120"/>
        <w:jc w:val="center"/>
      </w:pPr>
      <w:r>
        <w:rPr>
          <w:rFonts w:ascii="Times New Roman" w:hAnsi="Times New Roman"/>
          <w:b w:val="false"/>
          <w:i w:val="false"/>
          <w:color w:val="000000"/>
          <w:sz w:val="21"/>
        </w:rPr>
        <w:t>[Filed emergency 2/6/98—published 2/25/98, effective 2/6/98]</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12/6/01, Notice 10/31/01—published 12/26/01, effective 1/30/02]</w:t>
      </w:r>
    </w:p>
    <w:p>
      <w:pPr>
        <w:spacing w:before="0" w:after="0"/>
        <w:ind w:left="120"/>
        <w:jc w:val="center"/>
      </w:pPr>
      <w:r>
        <w:rPr>
          <w:rFonts w:ascii="Times New Roman" w:hAnsi="Times New Roman"/>
          <w:b w:val="false"/>
          <w:i w:val="false"/>
          <w:color w:val="000000"/>
          <w:sz w:val="21"/>
        </w:rPr>
        <w:t>[Filed ARC 9616B</w:t>
      </w:r>
      <w:r>
        <w:rPr>
          <w:rFonts w:ascii="Times New Roman" w:hAnsi="Times New Roman"/>
          <w:b w:val="false"/>
          <w:i w:val="false"/>
          <w:color w:val="000000"/>
          <w:sz w:val="21"/>
        </w:rPr>
        <w:t xml:space="preserve"> (Notice ARC 9514B, IAB 5/18/11)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1993C</w:t>
      </w:r>
      <w:r>
        <w:rPr>
          <w:rFonts w:ascii="Times New Roman" w:hAnsi="Times New Roman"/>
          <w:b w:val="false"/>
          <w:i w:val="false"/>
          <w:color w:val="000000"/>
          <w:sz w:val="21"/>
        </w:rPr>
        <w:t xml:space="preserve"> (Notice ARC 1934C, IAB 4/1/15)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2404C</w:t>
      </w:r>
      <w:r>
        <w:rPr>
          <w:rFonts w:ascii="Times New Roman" w:hAnsi="Times New Roman"/>
          <w:b w:val="false"/>
          <w:i w:val="false"/>
          <w:color w:val="000000"/>
          <w:sz w:val="21"/>
        </w:rPr>
        <w:t xml:space="preserve"> (Notice ARC 2321C, IAB 12/23/15)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r>
        <w:br/>
      </w:r>
      <w:r>
        <w:rPr>
          <w:rFonts w:ascii="Times New Roman" w:hAnsi="Times New Roman"/>
          <w:b w:val="false"/>
          <w:i w:val="false"/>
          <w:color w:val="000000"/>
          <w:sz w:val="21"/>
        </w:rPr>
        <w:t>[Filed ARC 3524C</w:t>
      </w:r>
      <w:r>
        <w:rPr>
          <w:rFonts w:ascii="Times New Roman" w:hAnsi="Times New Roman"/>
          <w:b w:val="false"/>
          <w:i w:val="false"/>
          <w:color w:val="000000"/>
          <w:sz w:val="21"/>
        </w:rPr>
        <w:t xml:space="preserve"> (Notice ARC 3408C,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[Editorial change: IAC Supplement 11/26/25]</w:t>
      </w:r>
    </w:p>
    <w:p>
      <w:pPr>
        <w:spacing w:before="0" w:after="0"/>
        <w:ind w:left="120"/>
        <w:jc w:val="center"/>
      </w:pPr>
      <w:r>
        <w:rPr>
          <w:rFonts w:ascii="Times New Roman" w:hAnsi="Times New Roman"/>
          <w:b w:val="false"/>
          <w:i w:val="false"/>
          <w:color w:val="000000"/>
          <w:sz w:val="21"/>
        </w:rPr>
        <w:t>[Filed ARC 0462D</w:t>
      </w:r>
      <w:r>
        <w:rPr>
          <w:rFonts w:ascii="Times New Roman" w:hAnsi="Times New Roman"/>
          <w:b w:val="false"/>
          <w:i w:val="false"/>
          <w:color w:val="000000"/>
          <w:sz w:val="21"/>
        </w:rPr>
        <w:t xml:space="preserve"> (Notice ARC 9893C, IAB 1/7/26)</w:t>
      </w:r>
      <w:r>
        <w:rPr>
          <w:rFonts w:ascii="Times New Roman" w:hAnsi="Times New Roman"/>
          <w:b w:val="false"/>
          <w:i w:val="false"/>
          <w:color w:val="000000"/>
          <w:sz w:val="21"/>
        </w:rPr>
        <w:t>, IAB 8/5/26, effective 10/1/26]</w:t>
      </w:r>
    </w:p>
    <w:p>
      <w:pPr>
        <w:pBdr>
          <w:bottom w:space="2"/>
        </w:pBdr>
        <w:spacing w:before="0" w:after="0"/>
        <w:ind w:left="120"/>
        <w:jc w:val="both"/>
      </w:pPr>
      <w:r>
        <w:rPr>
          <w:rFonts w:ascii="Times New Roman" w:hAnsi="Times New Roman"/>
          <w:b w:val="false"/>
          <w:i w:val="false"/>
          <w:color w:val="000000"/>
          <w:sz w:val="22"/>
        </w:rPr>
        <w:t>Effective date of first unnumbered paragraph of Ch 10, Scope and applicability, delayed 70 days by the Administrative Rules Review Committee at its 6/13/90 meeting; this paragraph rescinded IAB 8/22/90, effective 8/1/90.</w:t>
      </w:r>
    </w:p>
    <w:sectPr>
      <w:footerReference r:id="rId3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10A.801.pdf" Type="http://schemas.openxmlformats.org/officeDocument/2006/relationships/hyperlink" Id="rId6"/>
    <Relationship TargetMode="External" Target="https://www.legis.iowa.gov/docs/ico/chapter/272C.1.pdf" Type="http://schemas.openxmlformats.org/officeDocument/2006/relationships/hyperlink" Id="rId7"/>
    <Relationship TargetMode="External" Target="https://www.legis.iowa.gov/docs/ico/chapter/17A.11.pdf" Type="http://schemas.openxmlformats.org/officeDocument/2006/relationships/hyperlink" Id="rId8"/>
    <Relationship TargetMode="External" Target="https://www.legis.iowa.gov/docs/ico/chapter/4.1.pdf" Type="http://schemas.openxmlformats.org/officeDocument/2006/relationships/hyperlink" Id="rId9"/>
    <Relationship TargetMode="External" Target="https://www.legis.iowa.gov/docs/ico/chapter/17A.12.pdf" Type="http://schemas.openxmlformats.org/officeDocument/2006/relationships/hyperlink" Id="rId10"/>
    <Relationship TargetMode="External" Target="https://www.legis.iowa.gov/docs/iac/rule/481.10.6.pdf" Type="http://schemas.openxmlformats.org/officeDocument/2006/relationships/hyperlink" Id="rId11"/>
    <Relationship TargetMode="External" Target="https://www.legis.iowa.gov/docs/iac/rule/481.15.2.pdf" Type="http://schemas.openxmlformats.org/officeDocument/2006/relationships/hyperlink" Id="rId12"/>
    <Relationship TargetMode="External" Target="mailto:adminhearings@dia.iowa.gov" Type="http://schemas.openxmlformats.org/officeDocument/2006/relationships/hyperlink" Id="rId13"/>
    <Relationship TargetMode="External" Target="https://www.legis.iowa.gov/docs/iac/rule/481.10.14.pdf" Type="http://schemas.openxmlformats.org/officeDocument/2006/relationships/hyperlink" Id="rId14"/>
    <Relationship TargetMode="External" Target="https://www.legis.iowa.gov/docs/iac/rule/481.10.14.pdf" Type="http://schemas.openxmlformats.org/officeDocument/2006/relationships/hyperlink" Id="rId15"/>
    <Relationship TargetMode="External" Target="https://www.legis.iowa.gov/docs/ico/chapter/622.1.pdf" Type="http://schemas.openxmlformats.org/officeDocument/2006/relationships/hyperlink" Id="rId16"/>
    <Relationship TargetMode="External" Target="https://www.legis.iowa.gov/docs/iac/rule/481.10.14.pdf" Type="http://schemas.openxmlformats.org/officeDocument/2006/relationships/hyperlink" Id="rId17"/>
    <Relationship TargetMode="External" Target="https://www.legis.iowa.gov/docs/ico/chapter/17A.17.pdf" Type="http://schemas.openxmlformats.org/officeDocument/2006/relationships/hyperlink" Id="rId18"/>
    <Relationship TargetMode="External" Target="https://www.legis.iowa.gov/docs/ico/chapter/17A.12.pdf" Type="http://schemas.openxmlformats.org/officeDocument/2006/relationships/hyperlink" Id="rId19"/>
    <Relationship TargetMode="External" Target="https://www.legis.iowa.gov/docs/iac/rule/7.2506.27.pdf" Type="http://schemas.openxmlformats.org/officeDocument/2006/relationships/hyperlink" Id="rId20"/>
    <Relationship TargetMode="External" Target="https://www.legis.iowa.gov/docs/iac/rule/7.2506.27.pdf" Type="http://schemas.openxmlformats.org/officeDocument/2006/relationships/hyperlink" Id="rId21"/>
    <Relationship TargetMode="External" Target="https://www.legis.iowa.gov/docs/ico/chapter/724.21A.pdf" Type="http://schemas.openxmlformats.org/officeDocument/2006/relationships/hyperlink" Id="rId22"/>
    <Relationship TargetMode="External" Target="https://www.legis.iowa.gov/docs/iac/chapter/481.16.pdf" Type="http://schemas.openxmlformats.org/officeDocument/2006/relationships/hyperlink" Id="rId23"/>
    <Relationship TargetMode="External" Target="https://www.legis.iowa.gov/docs/iac/rule/481.10.27.pdf" Type="http://schemas.openxmlformats.org/officeDocument/2006/relationships/hyperlink" Id="rId24"/>
    <Relationship TargetMode="External" Target="https://www.legis.iowa.gov/docs/iac/rule/481.10.27.pdf" Type="http://schemas.openxmlformats.org/officeDocument/2006/relationships/hyperlink" Id="rId25"/>
    <Relationship TargetMode="External" Target="https://www.legis.iowa.gov/docs/ico/chapter/17A.12.pdf" Type="http://schemas.openxmlformats.org/officeDocument/2006/relationships/hyperlink" Id="rId26"/>
    <Relationship TargetMode="External" Target="https://www.legis.iowa.gov/docs/iac/rule/481.10.6.pdf" Type="http://schemas.openxmlformats.org/officeDocument/2006/relationships/hyperlink" Id="rId27"/>
    <Relationship TargetMode="External" Target="https://www.legis.iowa.gov/docs/ico/chapter/724.21A.pdf" Type="http://schemas.openxmlformats.org/officeDocument/2006/relationships/hyperlink" Id="rId28"/>
    <Relationship TargetMode="External" Target="https://www.legis.iowa.gov/docs/ico/chapter/724.21A.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10A.801.pdf" Type="http://schemas.openxmlformats.org/officeDocument/2006/relationships/hyperlink" Id="rId31"/>
    <Relationship TargetMode="External" Target="https://www.legis.iowa.gov/docs/ico/chapter/10A.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co/chapter/724.pdf" Type="http://schemas.openxmlformats.org/officeDocument/2006/relationships/hyperlink" Id="rId34"/>
    <Relationship Target="footer.xml" Type="http://schemas.openxmlformats.org/officeDocument/2006/relationships/footer"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