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ADMINISTRATION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481—1.1</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the definitions set forth in Iowa Code section </w:t>
      </w:r>
      <w:hyperlink r:id="rId5">
        <w:r>
          <w:rPr>
            <w:rStyle w:val="Hyperlink"/>
            <w:rFonts w:ascii="Times New Roman" w:hAnsi="Times New Roman"/>
            <w:b w:val="false"/>
            <w:i w:val="false"/>
            <w:color w:val="000000"/>
            <w:sz w:val="22"/>
          </w:rPr>
          <w:t>10A.101</w:t>
        </w:r>
      </w:hyperlink>
      <w:r>
        <w:rPr>
          <w:rFonts w:ascii="Times New Roman" w:hAnsi="Times New Roman"/>
          <w:b w:val="false"/>
          <w:i w:val="false"/>
          <w:color w:val="000000"/>
          <w:sz w:val="22"/>
        </w:rPr>
        <w:t xml:space="preserve"> are incorporated 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481—1.2</w:t>
      </w:r>
      <w:r>
        <w:rPr>
          <w:rFonts w:ascii="Times New Roman" w:hAnsi="Times New Roman"/>
          <w:b/>
          <w:i w:val="false"/>
          <w:color w:val="000000"/>
          <w:sz w:val="22"/>
        </w:rPr>
        <w:t xml:space="preserve">(10A) </w:t>
      </w:r>
      <w:r>
        <w:rPr>
          <w:rFonts w:ascii="Times New Roman" w:hAnsi="Times New Roman"/>
          <w:b/>
          <w:i w:val="false"/>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Overview of the department. </w:t>
      </w:r>
      <w:r>
        <w:rPr>
          <w:rFonts w:ascii="Times New Roman" w:hAnsi="Times New Roman"/>
          <w:b w:val="false"/>
          <w:i w:val="false"/>
          <w:color w:val="000000"/>
          <w:sz w:val="22"/>
        </w:rPr>
        <w:t xml:space="preserve">The department of inspections, appeals, and licensing is established by Iowa Code section </w:t>
      </w:r>
      <w:hyperlink r:id="rId6">
        <w:r>
          <w:rPr>
            <w:rStyle w:val="Hyperlink"/>
            <w:rFonts w:ascii="Times New Roman" w:hAnsi="Times New Roman"/>
            <w:b w:val="false"/>
            <w:i w:val="false"/>
            <w:color w:val="000000"/>
            <w:sz w:val="22"/>
          </w:rPr>
          <w:t>10A.102</w:t>
        </w:r>
      </w:hyperlink>
      <w:r>
        <w:rPr>
          <w:rFonts w:ascii="Times New Roman" w:hAnsi="Times New Roman"/>
          <w:b w:val="false"/>
          <w:i w:val="false"/>
          <w:color w:val="000000"/>
          <w:sz w:val="22"/>
        </w:rPr>
        <w:t xml:space="preserve"> and was created for the purpose of coordinating and conducting various audits, appeals, hearings, inspections, investigations, and licensing activities related to the operations of the executive branch of state government and administering the laws relating to employment safety, labor standards, and workers’ compensation. The department’s mission is to achieve compliance through education, regulation, and due process for a safe and healthy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Director and delegation of director authority. </w:t>
      </w:r>
      <w:r>
        <w:rPr>
          <w:rFonts w:ascii="Times New Roman" w:hAnsi="Times New Roman"/>
          <w:b w:val="false"/>
          <w:i w:val="false"/>
          <w:color w:val="000000"/>
          <w:sz w:val="22"/>
        </w:rPr>
        <w:t xml:space="preserve">The director of the department is appointed in accordance with Iowa Code section </w:t>
      </w:r>
      <w:hyperlink r:id="rId7">
        <w:r>
          <w:rPr>
            <w:rStyle w:val="Hyperlink"/>
            <w:rFonts w:ascii="Times New Roman" w:hAnsi="Times New Roman"/>
            <w:b w:val="false"/>
            <w:i w:val="false"/>
            <w:color w:val="000000"/>
            <w:sz w:val="22"/>
          </w:rPr>
          <w:t>10A.102</w:t>
        </w:r>
      </w:hyperlink>
      <w:r>
        <w:rPr>
          <w:rFonts w:ascii="Times New Roman" w:hAnsi="Times New Roman"/>
          <w:b w:val="false"/>
          <w:i w:val="false"/>
          <w:color w:val="000000"/>
          <w:sz w:val="22"/>
        </w:rPr>
        <w:t>. The director may designate employee(s) to administer the department in the director’s absence. The director may also delegate the director’s authority to administer the department to other employees as determined necessary for efficient and effective department operations. Delegations of the director’s authority will be documented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Divisions. </w:t>
      </w:r>
      <w:r>
        <w:rPr>
          <w:rFonts w:ascii="Times New Roman" w:hAnsi="Times New Roman"/>
          <w:b w:val="false"/>
          <w:i w:val="false"/>
          <w:color w:val="000000"/>
          <w:sz w:val="22"/>
        </w:rPr>
        <w:t xml:space="preserve">The department is comprised of divisions as described in Iowa Code section </w:t>
      </w:r>
      <w:hyperlink r:id="rId8">
        <w:r>
          <w:rPr>
            <w:rStyle w:val="Hyperlink"/>
            <w:rFonts w:ascii="Times New Roman" w:hAnsi="Times New Roman"/>
            <w:b w:val="false"/>
            <w:i w:val="false"/>
            <w:color w:val="000000"/>
            <w:sz w:val="22"/>
          </w:rPr>
          <w:t>10A.106</w:t>
        </w:r>
      </w:hyperlink>
      <w:r>
        <w:rPr>
          <w:rFonts w:ascii="Times New Roman" w:hAnsi="Times New Roman"/>
          <w:b w:val="false"/>
          <w:i w:val="false"/>
          <w:color w:val="000000"/>
          <w:sz w:val="22"/>
        </w:rPr>
        <w:t xml:space="preserve"> and on the department’s website. The director may, from time to time, reorganize the department into administrative divisions to most efficiently and effectively carry out the department’s responsibilities, as permitted by law. Reorganization may include creating new divisions, eliminating existing divisions, or combining divisions as the director deems necessary. Nothing herein prevents flexibility in interdepartmental operations or forbids divisional allocations of duties in the discretion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color w:val="000000"/>
          <w:sz w:val="22"/>
        </w:rPr>
        <w:t xml:space="preserve">Attached units. </w:t>
      </w:r>
      <w:r>
        <w:rPr>
          <w:rFonts w:ascii="Times New Roman" w:hAnsi="Times New Roman"/>
          <w:b w:val="false"/>
          <w:i w:val="false"/>
          <w:color w:val="000000"/>
          <w:sz w:val="22"/>
        </w:rPr>
        <w:t xml:space="preserve">The state public defender, racing and gaming commission, Iowa office of civil rights, and employment appeal board operate as attached units to the department for administrative support in accordance with Iowa Code chapter </w:t>
      </w:r>
      <w:hyperlink r:id="rId9">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and their authorizing statutes.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481—1.3</w:t>
      </w:r>
      <w:r>
        <w:rPr>
          <w:rFonts w:ascii="Times New Roman" w:hAnsi="Times New Roman"/>
          <w:b/>
          <w:i w:val="false"/>
          <w:color w:val="000000"/>
          <w:sz w:val="22"/>
        </w:rPr>
        <w:t xml:space="preserve">(10A) </w:t>
      </w:r>
      <w:r>
        <w:rPr>
          <w:rFonts w:ascii="Times New Roman" w:hAnsi="Times New Roman"/>
          <w:b/>
          <w:i w:val="false"/>
          <w:color w:val="000000"/>
          <w:sz w:val="22"/>
        </w:rPr>
        <w:t xml:space="preserve">Information. </w:t>
      </w:r>
      <w:r>
        <w:rPr>
          <w:rFonts w:ascii="Times New Roman" w:hAnsi="Times New Roman"/>
          <w:b w:val="false"/>
          <w:i w:val="false"/>
          <w:color w:val="000000"/>
          <w:sz w:val="22"/>
        </w:rPr>
        <w:t xml:space="preserve">The general public may obtain information about the department by contacting the department at its offices located at 6200 Park Avenue, Suite 100, Des Moines, Iowa 50321; by telephone at 515.281.3425; or through its website at </w:t>
      </w:r>
      <w:hyperlink r:id="rId10">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The department maintains additional contact information for divisions and programs on its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481—1.4</w:t>
      </w:r>
      <w:r>
        <w:rPr>
          <w:rFonts w:ascii="Times New Roman" w:hAnsi="Times New Roman"/>
          <w:b/>
          <w:i w:val="false"/>
          <w:color w:val="000000"/>
          <w:sz w:val="22"/>
        </w:rPr>
        <w:t xml:space="preserve">(10A,17A)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Issuance of subpoenas. </w:t>
      </w:r>
      <w:r>
        <w:rPr>
          <w:rFonts w:ascii="Times New Roman" w:hAnsi="Times New Roman"/>
          <w:b w:val="false"/>
          <w:i w:val="false"/>
          <w:color w:val="000000"/>
          <w:sz w:val="22"/>
        </w:rPr>
        <w:t xml:space="preserve">The director, or designee of the director, is authorized to issue subpoenas in accordance with the provisions of Iowa Code sections </w:t>
      </w:r>
      <w:hyperlink r:id="rId11">
        <w:r>
          <w:rPr>
            <w:rStyle w:val="Hyperlink"/>
            <w:rFonts w:ascii="Times New Roman" w:hAnsi="Times New Roman"/>
            <w:b w:val="false"/>
            <w:i w:val="false"/>
            <w:color w:val="000000"/>
            <w:sz w:val="22"/>
          </w:rPr>
          <w:t>10A.104(6)</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10A.209</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In connection with audits, appeals, investigations, inspections, hearings, and any other permissible matters conducted by the department, the director, or designee of the director, may, upon written request or the director’s own initiative, issue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Subpoenas duces tecum for the production and delivery of books, papers, records, and other real evidence;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Subpoenas for the appearance of persons to provide statements, statements under oath, and depositions.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Contents of subpoenas. </w:t>
      </w:r>
      <w:r>
        <w:rPr>
          <w:rFonts w:ascii="Times New Roman" w:hAnsi="Times New Roman"/>
          <w:b w:val="false"/>
          <w:i w:val="false"/>
          <w:color w:val="000000"/>
          <w:sz w:val="22"/>
        </w:rPr>
        <w:t>Each subpoena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the appearance of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inspections, or copying of the books, papers, records, or other real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and address of the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 department employee who can be contacted for purposes of providing clarification or assistance in compliance with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Motions to quash or modify subpoena. </w:t>
      </w:r>
      <w:r>
        <w:rPr>
          <w:rFonts w:ascii="Times New Roman" w:hAnsi="Times New Roman"/>
          <w:b w:val="false"/>
          <w:i w:val="false"/>
          <w:color w:val="000000"/>
          <w:sz w:val="22"/>
        </w:rPr>
        <w:t>A person who desires to challenge a subpoena directed to that person must, within ten days after service of the subpoena, or before the time specified for compliance, if such time is less than ten days, file with the director a motion to quash or modify the subpoena. Upon receipt of a timely motion to quash or modify a subpoena, the director or the director’s designee may issue a decision or request an administrative law judge to issue a decision. Oral argument may be scheduled and conducted at the discretion of the director, the director’s designee, or the administrative law judge. The director, the director’s designee, or the administrative law judge may quash or modify the subpoena, deny the motion, or issue other appropriate orders. A person who is aggrieved by a ruling of an administrative law judge and who desires to challenge that ruling must appeal the ruling to the director by serving the director, either in person or by certified mail, a notice of appeal within ten days after service of the decision of the administrative law judge. The decision of the director or the director’s designee is final for purposes of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subpoena. </w:t>
      </w:r>
      <w:r>
        <w:rPr>
          <w:rFonts w:ascii="Times New Roman" w:hAnsi="Times New Roman"/>
          <w:b w:val="false"/>
          <w:i w:val="false"/>
          <w:color w:val="000000"/>
          <w:sz w:val="22"/>
        </w:rPr>
        <w:t>If the person to whom the subpoena is directed refuses or fails to obey the subpoena, the director, or the director’s designee, may cause a petition to be filed in the Iowa district court seeking an order for the person’s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481—1.5</w:t>
      </w:r>
      <w:r>
        <w:rPr>
          <w:rFonts w:ascii="Times New Roman" w:hAnsi="Times New Roman"/>
          <w:b/>
          <w:i w:val="false"/>
          <w:color w:val="000000"/>
          <w:sz w:val="22"/>
        </w:rPr>
        <w:t xml:space="preserve">(10A,68B) </w:t>
      </w:r>
      <w:r>
        <w:rPr>
          <w:rFonts w:ascii="Times New Roman" w:hAnsi="Times New Roman"/>
          <w:b/>
          <w:i w:val="false"/>
          <w:color w:val="000000"/>
          <w:sz w:val="22"/>
        </w:rPr>
        <w:t xml:space="preserve">Consent for the sale of goods and services. </w:t>
      </w:r>
      <w:r>
        <w:rPr>
          <w:rFonts w:ascii="Times New Roman" w:hAnsi="Times New Roman"/>
          <w:b w:val="false"/>
          <w:i w:val="false"/>
          <w:color w:val="000000"/>
          <w:sz w:val="22"/>
        </w:rPr>
        <w:t xml:space="preserve">An official or employee of the department shall not directly or indirectly sell or lease any goods, real estate, or services to individuals, associations, or corporations subject to the regulatory authority of the official’s or employee’s agency except as provided by Iowa Code section </w:t>
      </w:r>
      <w:hyperlink r:id="rId14">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xml:space="preserve"> and rule </w:t>
      </w:r>
      <w:hyperlink r:id="rId15">
        <w:r>
          <w:rPr>
            <w:rStyle w:val="Hyperlink"/>
            <w:rFonts w:ascii="Times New Roman" w:hAnsi="Times New Roman"/>
            <w:b w:val="false"/>
            <w:i w:val="false"/>
            <w:color w:val="000000"/>
            <w:sz w:val="22"/>
          </w:rPr>
          <w:t>351—6.11</w:t>
        </w:r>
      </w:hyperlink>
      <w:r>
        <w:rPr>
          <w:rFonts w:ascii="Times New Roman" w:hAnsi="Times New Roman"/>
          <w:b w:val="false"/>
          <w:i w:val="false"/>
          <w:color w:val="000000"/>
          <w:sz w:val="22"/>
        </w:rPr>
        <w:t>(68B).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6">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7/1/86—published 7/16/86, effective 7/1/86]</w:t>
      </w:r>
    </w:p>
    <w:p>
      <w:pPr>
        <w:spacing w:before="0" w:after="0"/>
        <w:ind w:left="120"/>
        <w:jc w:val="center"/>
      </w:pPr>
      <w:r>
        <w:rPr>
          <w:rFonts w:ascii="Times New Roman" w:hAnsi="Times New Roman"/>
          <w:b w:val="false"/>
          <w:i w:val="false"/>
          <w:color w:val="000000"/>
          <w:sz w:val="21"/>
        </w:rPr>
        <w:t>[Filed 2/6/87, Notice 10/8/86—published 2/25/87, effective 4/1/87]</w:t>
      </w:r>
    </w:p>
    <w:p>
      <w:pPr>
        <w:spacing w:before="0" w:after="0"/>
        <w:ind w:left="120"/>
        <w:jc w:val="center"/>
      </w:pPr>
      <w:r>
        <w:rPr>
          <w:rFonts w:ascii="Times New Roman" w:hAnsi="Times New Roman"/>
          <w:b w:val="false"/>
          <w:i w:val="false"/>
          <w:color w:val="000000"/>
          <w:sz w:val="21"/>
        </w:rPr>
        <w:t>[Filed without Notice 3/26/87—published 4/22/87, effective 5/27/87]</w:t>
      </w:r>
    </w:p>
    <w:p>
      <w:pPr>
        <w:spacing w:before="0" w:after="0"/>
        <w:ind w:left="120"/>
        <w:jc w:val="center"/>
      </w:pPr>
      <w:r>
        <w:rPr>
          <w:rFonts w:ascii="Times New Roman" w:hAnsi="Times New Roman"/>
          <w:b w:val="false"/>
          <w:i w:val="false"/>
          <w:color w:val="000000"/>
          <w:sz w:val="21"/>
        </w:rPr>
        <w:t>[Filed 9/18/87, Notice 7/15/87—published 10/7/87, effective 11/11/87]</w:t>
      </w:r>
    </w:p>
    <w:p>
      <w:pPr>
        <w:spacing w:before="0" w:after="0"/>
        <w:ind w:left="120"/>
        <w:jc w:val="center"/>
      </w:pPr>
      <w:r>
        <w:rPr>
          <w:rFonts w:ascii="Times New Roman" w:hAnsi="Times New Roman"/>
          <w:b w:val="false"/>
          <w:i w:val="false"/>
          <w:color w:val="000000"/>
          <w:sz w:val="21"/>
        </w:rPr>
        <w:t>[Filed 4/29/99, Notice 3/24/99—published 5/19/99, effective 7/1/99]</w:t>
      </w:r>
    </w:p>
    <w:p>
      <w:pPr>
        <w:spacing w:before="0" w:after="0"/>
        <w:ind w:left="120"/>
        <w:jc w:val="center"/>
      </w:pPr>
      <w:r>
        <w:rPr>
          <w:rFonts w:ascii="Times New Roman" w:hAnsi="Times New Roman"/>
          <w:b w:val="false"/>
          <w:i w:val="false"/>
          <w:color w:val="000000"/>
          <w:sz w:val="21"/>
        </w:rPr>
        <w:t>[Filed 9/1/00, Notice 7/26/00—published 9/20/00, effective 10/25/00]</w:t>
      </w:r>
    </w:p>
    <w:p>
      <w:pPr>
        <w:spacing w:before="0" w:after="0"/>
        <w:ind w:left="120"/>
        <w:jc w:val="center"/>
      </w:pPr>
      <w:r>
        <w:rPr>
          <w:rFonts w:ascii="Times New Roman" w:hAnsi="Times New Roman"/>
          <w:b w:val="false"/>
          <w:i w:val="false"/>
          <w:color w:val="000000"/>
          <w:sz w:val="21"/>
        </w:rPr>
        <w:t>[Filed 4/26/02, Notice 3/20/02—published 5/15/02, effective 6/19/02]</w:t>
      </w:r>
    </w:p>
    <w:p>
      <w:pPr>
        <w:spacing w:before="0" w:after="0"/>
        <w:ind w:left="120"/>
        <w:jc w:val="center"/>
      </w:pPr>
      <w:r>
        <w:rPr>
          <w:rFonts w:ascii="Times New Roman" w:hAnsi="Times New Roman"/>
          <w:b w:val="false"/>
          <w:i w:val="false"/>
          <w:color w:val="000000"/>
          <w:sz w:val="21"/>
        </w:rPr>
        <w:t>[Filed ARC 8431B</w:t>
      </w:r>
      <w:r>
        <w:rPr>
          <w:rFonts w:ascii="Times New Roman" w:hAnsi="Times New Roman"/>
          <w:b w:val="false"/>
          <w:i w:val="false"/>
          <w:color w:val="000000"/>
          <w:sz w:val="21"/>
        </w:rPr>
        <w:t xml:space="preserve"> (Notice ARC 8242B, IAB 10/21/09)</w:t>
      </w:r>
      <w:r>
        <w:rPr>
          <w:rFonts w:ascii="Times New Roman" w:hAnsi="Times New Roman"/>
          <w:b w:val="false"/>
          <w:i w:val="false"/>
          <w:color w:val="000000"/>
          <w:sz w:val="21"/>
        </w:rPr>
        <w:t>, IAB 12/30/09, effective 2/3/10]</w:t>
      </w:r>
    </w:p>
    <w:p>
      <w:pPr>
        <w:spacing w:before="0" w:after="0"/>
        <w:ind w:left="120"/>
        <w:jc w:val="center"/>
      </w:pPr>
      <w:r>
        <w:rPr>
          <w:rFonts w:ascii="Times New Roman" w:hAnsi="Times New Roman"/>
          <w:b w:val="false"/>
          <w:i w:val="false"/>
          <w:color w:val="000000"/>
          <w:sz w:val="21"/>
        </w:rPr>
        <w:t>[Filed ARC 3768C</w:t>
      </w:r>
      <w:r>
        <w:rPr>
          <w:rFonts w:ascii="Times New Roman" w:hAnsi="Times New Roman"/>
          <w:b w:val="false"/>
          <w:i w:val="false"/>
          <w:color w:val="000000"/>
          <w:sz w:val="21"/>
        </w:rPr>
        <w:t xml:space="preserve"> (Notice ARC 3650C, IAB 2/28/18)</w:t>
      </w:r>
      <w:r>
        <w:rPr>
          <w:rFonts w:ascii="Times New Roman" w:hAnsi="Times New Roman"/>
          <w:b w:val="false"/>
          <w:i w:val="false"/>
          <w:color w:val="000000"/>
          <w:sz w:val="21"/>
        </w:rPr>
        <w:t>, IAB 4/25/18, effective 5/30/18]</w:t>
      </w:r>
      <w:r>
        <w:br/>
      </w:r>
      <w:r>
        <w:rPr>
          <w:rFonts w:ascii="Times New Roman" w:hAnsi="Times New Roman"/>
          <w:b w:val="false"/>
          <w:i w:val="false"/>
          <w:color w:val="000000"/>
          <w:sz w:val="21"/>
        </w:rPr>
        <w:t>[Filed ARC 3769C</w:t>
      </w:r>
      <w:r>
        <w:rPr>
          <w:rFonts w:ascii="Times New Roman" w:hAnsi="Times New Roman"/>
          <w:b w:val="false"/>
          <w:i w:val="false"/>
          <w:color w:val="000000"/>
          <w:sz w:val="21"/>
        </w:rPr>
        <w:t xml:space="preserve"> (Notice ARC 3649C, IAB 2/28/18)</w:t>
      </w:r>
      <w:r>
        <w:rPr>
          <w:rFonts w:ascii="Times New Roman" w:hAnsi="Times New Roman"/>
          <w:b w:val="false"/>
          <w:i w:val="false"/>
          <w:color w:val="000000"/>
          <w:sz w:val="21"/>
        </w:rPr>
        <w:t>, IAB 4/25/18, effective 5/30/18]</w:t>
      </w:r>
    </w:p>
    <w:p>
      <w:pPr>
        <w:spacing w:before="0" w:after="0"/>
        <w:ind w:left="120"/>
        <w:jc w:val="center"/>
      </w:pPr>
      <w:r>
        <w:rPr>
          <w:rFonts w:ascii="Times New Roman" w:hAnsi="Times New Roman"/>
          <w:b w:val="false"/>
          <w:i w:val="false"/>
          <w:color w:val="000000"/>
          <w:sz w:val="21"/>
        </w:rPr>
        <w:t>[Filed ARC 6862C</w:t>
      </w:r>
      <w:r>
        <w:rPr>
          <w:rFonts w:ascii="Times New Roman" w:hAnsi="Times New Roman"/>
          <w:b w:val="false"/>
          <w:i w:val="false"/>
          <w:color w:val="000000"/>
          <w:sz w:val="21"/>
        </w:rPr>
        <w:t xml:space="preserve"> (Notice ARC 6741C, IAB 12/14/22)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9151C</w:t>
      </w:r>
      <w:r>
        <w:rPr>
          <w:rFonts w:ascii="Times New Roman" w:hAnsi="Times New Roman"/>
          <w:b w:val="false"/>
          <w:i w:val="false"/>
          <w:color w:val="000000"/>
          <w:sz w:val="21"/>
        </w:rPr>
        <w:t xml:space="preserve"> (Notice ARC 9001C, IAB 3/5/25)</w:t>
      </w:r>
      <w:r>
        <w:rPr>
          <w:rFonts w:ascii="Times New Roman" w:hAnsi="Times New Roman"/>
          <w:b w:val="false"/>
          <w:i w:val="false"/>
          <w:color w:val="000000"/>
          <w:sz w:val="21"/>
        </w:rPr>
        <w:t>, IAB 4/30/25, effective 6/4/25]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101.pdf" Type="http://schemas.openxmlformats.org/officeDocument/2006/relationships/hyperlink" Id="rId5"/>
    <Relationship TargetMode="External" Target="https://www.legis.iowa.gov/docs/ico/chapter/10A.102.pdf" Type="http://schemas.openxmlformats.org/officeDocument/2006/relationships/hyperlink" Id="rId6"/>
    <Relationship TargetMode="External" Target="https://www.legis.iowa.gov/docs/ico/chapter/10A.102.pdf" Type="http://schemas.openxmlformats.org/officeDocument/2006/relationships/hyperlink" Id="rId7"/>
    <Relationship TargetMode="External" Target="https://www.legis.iowa.gov/docs/ico/chapter/10A.106.pdf" Type="http://schemas.openxmlformats.org/officeDocument/2006/relationships/hyperlink" Id="rId8"/>
    <Relationship TargetMode="External" Target="https://www.legis.iowa.gov/docs/ico/chapter/10A.pdf" Type="http://schemas.openxmlformats.org/officeDocument/2006/relationships/hyperlink" Id="rId9"/>
    <Relationship TargetMode="External" Target="http://dial.iowa.gov" Type="http://schemas.openxmlformats.org/officeDocument/2006/relationships/hyperlink" Id="rId10"/>
    <Relationship TargetMode="External" Target="https://www.legis.iowa.gov/docs/ico/chapter/10A.104.pdf" Type="http://schemas.openxmlformats.org/officeDocument/2006/relationships/hyperlink" Id="rId11"/>
    <Relationship TargetMode="External" Target="https://www.legis.iowa.gov/docs/ico/chapter/10A.209.pdf" Type="http://schemas.openxmlformats.org/officeDocument/2006/relationships/hyperlink" Id="rId12"/>
    <Relationship TargetMode="External" Target="https://www.legis.iowa.gov/docs/ico/chapter/17A.13.pdf" Type="http://schemas.openxmlformats.org/officeDocument/2006/relationships/hyperlink" Id="rId13"/>
    <Relationship TargetMode="External" Target="https://www.legis.iowa.gov/docs/ico/chapter/68B.4.pdf" Type="http://schemas.openxmlformats.org/officeDocument/2006/relationships/hyperlink" Id="rId14"/>
    <Relationship TargetMode="External" Target="https://www.legis.iowa.gov/docs/iac/rule/351.6.11.pdf" Type="http://schemas.openxmlformats.org/officeDocument/2006/relationships/hyperlink" Id="rId15"/>
    <Relationship TargetMode="External" Target="https://www.legis.iowa.gov/docs/ico/chapter/10A.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68B.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