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CONTINUING EDUCATION FOR</w:t>
      </w:r>
      <w:r>
        <w:br/>
      </w:r>
      <w:r>
        <w:rPr>
          <w:rFonts w:ascii="Times New Roman" w:hAnsi="Times New Roman"/>
          <w:b w:val="false"/>
          <w:i w:val="false"/>
          <w:color w:val="000000"/>
          <w:sz w:val="21"/>
        </w:rPr>
        <w:t>INSURANCE PRODUCERS</w:t>
      </w:r>
    </w:p>
    <w:p>
      <w:pPr>
        <w:spacing w:before="0" w:after="0"/>
        <w:ind w:left="120"/>
        <w:jc w:val="center"/>
      </w:pPr>
      <w:r>
        <w:rPr>
          <w:rFonts w:ascii="Times New Roman" w:hAnsi="Times New Roman"/>
          <w:b w:val="false"/>
          <w:i w:val="false"/>
          <w:color w:val="000000"/>
          <w:sz w:val="14"/>
        </w:rPr>
        <w:t>[Prior to 10/22/86, Insurance Department[510]]</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191—11.1</w:t>
      </w:r>
      <w:r>
        <w:rPr>
          <w:rFonts w:ascii="Times New Roman" w:hAnsi="Times New Roman"/>
          <w:b/>
          <w:i w:val="false"/>
          <w:color w:val="000000"/>
          <w:sz w:val="22"/>
        </w:rPr>
        <w:t xml:space="preserve">(505,522B) </w:t>
      </w:r>
      <w:r>
        <w:rPr>
          <w:rFonts w:ascii="Times New Roman" w:hAnsi="Times New Roman"/>
          <w:b/>
          <w:i w:val="false"/>
          <w:color w:val="000000"/>
          <w:sz w:val="22"/>
        </w:rPr>
        <w:t xml:space="preserve">Statutory authority—purpose—applicability.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are adopted pursuant to the general rule-making authority of the commissioner in Iowa Code chapters </w:t>
      </w:r>
      <w:hyperlink r:id="rId5">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522B</w:t>
        </w:r>
      </w:hyperlink>
      <w:r>
        <w:rPr>
          <w:rFonts w:ascii="Times New Roman" w:hAnsi="Times New Roman"/>
          <w:b w:val="false"/>
          <w:i w:val="false"/>
          <w:color w:val="000000"/>
          <w:sz w:val="22"/>
        </w:rPr>
        <w:t xml:space="preserve"> to establish continuing education requirements for resident and nonresident insurance producers.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w:t>
      </w:r>
      <w:r>
        <w:rPr>
          <w:rFonts w:ascii="Times New Roman" w:hAnsi="Times New Roman"/>
          <w:b w:val="false"/>
          <w:i w:val="false"/>
          <w:color w:val="000000"/>
          <w:sz w:val="22"/>
        </w:rPr>
        <w:t> </w:t>
      </w:r>
      <w:r>
        <w:rPr>
          <w:rFonts w:ascii="Times New Roman" w:hAnsi="Times New Roman"/>
          <w:b w:val="false"/>
          <w:i w:val="false"/>
          <w:color w:val="000000"/>
          <w:sz w:val="22"/>
        </w:rPr>
        <w:t>The purpose of these rules is to establish requirements by prescribing: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minimum number of continuing education credits that an insurance producer must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procedure and standards that the division will utilize in the approval of continuing education providers and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procedure for establishing that the required continuing education has been completed;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Enforcement criteria and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w:t>
      </w:r>
      <w:r>
        <w:rPr>
          <w:rFonts w:ascii="Times New Roman" w:hAnsi="Times New Roman"/>
          <w:b w:val="false"/>
          <w:i w:val="false"/>
          <w:color w:val="000000"/>
          <w:sz w:val="22"/>
        </w:rPr>
        <w:t> </w:t>
      </w:r>
      <w:r>
        <w:rPr>
          <w:rFonts w:ascii="Times New Roman" w:hAnsi="Times New Roman"/>
          <w:b w:val="false"/>
          <w:i w:val="false"/>
          <w:color w:val="000000"/>
          <w:sz w:val="22"/>
        </w:rPr>
        <w:t>These rules do not apply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nonresident producer who resides in a state or district having a continuing education (CE) requirement for insurance producers.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resident producer who holds qualification in the surety or credit lines of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attorneys who are also producers who submit proof of completion of continuing legal education for the appropriate calendar years during the CE term and otherwise comply with the producer license renewal procedures set forth in </w:t>
      </w:r>
      <w:hyperlink r:id="rId7">
        <w:r>
          <w:rPr>
            <w:rStyle w:val="Hyperlink"/>
            <w:rFonts w:ascii="Times New Roman" w:hAnsi="Times New Roman"/>
            <w:b w:val="false"/>
            <w:i w:val="false"/>
            <w:color w:val="000000"/>
            <w:sz w:val="22"/>
          </w:rPr>
          <w:t>191—Chapter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producer who serves full-time in the armed forces of the United States of America on active duty during a substantial part of the CE term and who submits evidence of such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resident producer who holds qualification only for a crop insurance line of authority and who complies with subrule </w:t>
      </w:r>
      <w:hyperlink r:id="rId8">
        <w:r>
          <w:rPr>
            <w:rStyle w:val="Hyperlink"/>
            <w:rFonts w:ascii="Times New Roman" w:hAnsi="Times New Roman"/>
            <w:b w:val="false"/>
            <w:i w:val="false"/>
            <w:color w:val="000000"/>
            <w:sz w:val="22"/>
          </w:rPr>
          <w:t>11.3(8)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191—11.2</w:t>
      </w:r>
      <w:r>
        <w:rPr>
          <w:rFonts w:ascii="Times New Roman" w:hAnsi="Times New Roman"/>
          <w:b/>
          <w:i w:val="false"/>
          <w:color w:val="000000"/>
          <w:sz w:val="22"/>
        </w:rPr>
        <w:t xml:space="preserve">(505,522B)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rules </w:t>
      </w:r>
      <w:hyperlink r:id="rId9">
        <w:r>
          <w:rPr>
            <w:rStyle w:val="Hyperlink"/>
            <w:rFonts w:ascii="Times New Roman" w:hAnsi="Times New Roman"/>
            <w:b w:val="false"/>
            <w:i w:val="false"/>
            <w:color w:val="000000"/>
            <w:sz w:val="22"/>
          </w:rPr>
          <w:t>191—1.1</w:t>
        </w:r>
      </w:hyperlink>
      <w:r>
        <w:rPr>
          <w:rFonts w:ascii="Times New Roman" w:hAnsi="Times New Roman"/>
          <w:b w:val="false"/>
          <w:i w:val="false"/>
          <w:color w:val="000000"/>
          <w:sz w:val="22"/>
        </w:rPr>
        <w:t xml:space="preserve">(502,505) and </w:t>
      </w:r>
      <w:hyperlink r:id="rId10">
        <w:r>
          <w:rPr>
            <w:rStyle w:val="Hyperlink"/>
            <w:rFonts w:ascii="Times New Roman" w:hAnsi="Times New Roman"/>
            <w:b w:val="false"/>
            <w:i w:val="false"/>
            <w:color w:val="000000"/>
            <w:sz w:val="22"/>
          </w:rPr>
          <w:t>191—10.2</w:t>
        </w:r>
      </w:hyperlink>
      <w:r>
        <w:rPr>
          <w:rFonts w:ascii="Times New Roman" w:hAnsi="Times New Roman"/>
          <w:b w:val="false"/>
          <w:i w:val="false"/>
          <w:color w:val="000000"/>
          <w:sz w:val="22"/>
        </w:rPr>
        <w:t>(522B),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subject”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“approved course” </w:t>
      </w:r>
      <w:r>
        <w:rPr>
          <w:rFonts w:ascii="Times New Roman" w:hAnsi="Times New Roman"/>
          <w:b w:val="false"/>
          <w:i w:val="false"/>
          <w:color w:val="000000"/>
          <w:sz w:val="22"/>
        </w:rPr>
        <w:t>means any educational presentation which has been approved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“Attendance record” </w:t>
      </w:r>
      <w:r>
        <w:rPr>
          <w:rFonts w:ascii="Times New Roman" w:hAnsi="Times New Roman"/>
          <w:b w:val="false"/>
          <w:i w:val="false"/>
          <w:color w:val="000000"/>
          <w:sz w:val="22"/>
        </w:rPr>
        <w:t>means a record on which a CE provider requires attendees of a CE course to sign in at the time of entrance to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 </w:t>
      </w:r>
      <w:r>
        <w:rPr>
          <w:rFonts w:ascii="Times New Roman" w:hAnsi="Times New Roman"/>
          <w:b w:val="false"/>
          <w:i w:val="false"/>
          <w:color w:val="000000"/>
          <w:sz w:val="22"/>
        </w:rPr>
        <w:t xml:space="preserve">means continuing education as referenced in Iowa Code chapter </w:t>
      </w:r>
      <w:hyperlink r:id="rId11">
        <w:r>
          <w:rPr>
            <w:rStyle w:val="Hyperlink"/>
            <w:rFonts w:ascii="Times New Roman" w:hAnsi="Times New Roman"/>
            <w:b w:val="false"/>
            <w:i w:val="false"/>
            <w:color w:val="000000"/>
            <w:sz w:val="22"/>
          </w:rPr>
          <w:t>522B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 provider” </w:t>
      </w:r>
      <w:r>
        <w:rPr>
          <w:rFonts w:ascii="Times New Roman" w:hAnsi="Times New Roman"/>
          <w:b w:val="false"/>
          <w:i w:val="false"/>
          <w:color w:val="000000"/>
          <w:sz w:val="22"/>
        </w:rPr>
        <w:t>means any individual or entity that is approved to offer continuing education courses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 term” </w:t>
      </w:r>
      <w:r>
        <w:rPr>
          <w:rFonts w:ascii="Times New Roman" w:hAnsi="Times New Roman"/>
          <w:b w:val="false"/>
          <w:i w:val="false"/>
          <w:color w:val="000000"/>
          <w:sz w:val="22"/>
        </w:rPr>
        <w:t>means the period of time that begins either on the date when a new producer’s insurance license is issued or on the date after the expiration date of an existing producer’s license and that ends on the following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“Credit” </w:t>
      </w:r>
      <w:r>
        <w:rPr>
          <w:rFonts w:ascii="Times New Roman" w:hAnsi="Times New Roman"/>
          <w:b w:val="false"/>
          <w:i w:val="false"/>
          <w:color w:val="000000"/>
          <w:sz w:val="22"/>
        </w:rPr>
        <w:t>means continuing education credit. One credit is 50 minutes of instruction or reading material in an acceptable topic.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“Proctored”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“independently proctored” </w:t>
      </w:r>
      <w:r>
        <w:rPr>
          <w:rFonts w:ascii="Times New Roman" w:hAnsi="Times New Roman"/>
          <w:b w:val="false"/>
          <w:i w:val="false"/>
          <w:color w:val="000000"/>
          <w:sz w:val="22"/>
        </w:rPr>
        <w:t>means the supervision by a CE provider or disinterested third party over the conduct of a producer while that producer is completing an examination that is part of a self-study CE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“Roster” </w:t>
      </w:r>
      <w:r>
        <w:rPr>
          <w:rFonts w:ascii="Times New Roman" w:hAnsi="Times New Roman"/>
          <w:b w:val="false"/>
          <w:i w:val="false"/>
          <w:color w:val="000000"/>
          <w:sz w:val="22"/>
        </w:rPr>
        <w:t>means a listing of all licensed attendees at an approved course and includes the Iowa course number, the National Insurance Producer Registry (NIPR) National Producer Number (NPN), the date the course was completed, and the actual number of credits earned by each producer.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“Self-study course” </w:t>
      </w:r>
      <w:r>
        <w:rPr>
          <w:rFonts w:ascii="Times New Roman" w:hAnsi="Times New Roman"/>
          <w:b w:val="false"/>
          <w:i w:val="false"/>
          <w:color w:val="000000"/>
          <w:sz w:val="22"/>
        </w:rPr>
        <w:t>means an educational program that consists of a self-study manual and comprehensive examination. A self-study course may be an online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7662B</w:t>
      </w:r>
      <w:r>
        <w:rPr>
          <w:rFonts w:ascii="Times New Roman" w:hAnsi="Times New Roman"/>
          <w:b w:val="false"/>
          <w:i w:val="false"/>
          <w:color w:val="000000"/>
          <w:sz w:val="16"/>
        </w:rPr>
        <w:t>, IAB 3/25/09, effective 4/29/09</w:t>
      </w:r>
      <w:r>
        <w:rPr>
          <w:rFonts w:ascii="Times New Roman" w:hAnsi="Times New Roman"/>
          <w:b w:val="false"/>
          <w:i w:val="false"/>
          <w:color w:val="000000"/>
          <w:sz w:val="16"/>
        </w:rPr>
        <w:t xml:space="preserve">; </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191—11.3</w:t>
      </w:r>
      <w:r>
        <w:rPr>
          <w:rFonts w:ascii="Times New Roman" w:hAnsi="Times New Roman"/>
          <w:b/>
          <w:i w:val="false"/>
          <w:color w:val="000000"/>
          <w:sz w:val="22"/>
        </w:rPr>
        <w:t xml:space="preserve">(505,522B) </w:t>
      </w:r>
      <w:r>
        <w:rPr>
          <w:rFonts w:ascii="Times New Roman" w:hAnsi="Times New Roman"/>
          <w:b/>
          <w:i w:val="false"/>
          <w:color w:val="000000"/>
          <w:sz w:val="22"/>
        </w:rPr>
        <w:t xml:space="preserve">Continuing education requirements for producers.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val="false"/>
          <w:color w:val="000000"/>
          <w:sz w:val="22"/>
        </w:rPr>
        <w:t>Every licensed resident producer must complete a minimum of 36 credits for each CE term in courses approved by the division. Three of these credits must be in the subject of ethics. By the end of the last business day of the producer’s CE term, the division must receive from the producer proof of completion of the CE courses.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val="false"/>
          <w:color w:val="000000"/>
          <w:sz w:val="22"/>
        </w:rPr>
        <w:t>An instructor of an approved subject is entitled to the same credit as a student completing that subject and may receive such credit once during a CE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val="false"/>
          <w:color w:val="000000"/>
          <w:sz w:val="22"/>
        </w:rPr>
        <w:t>A producer cannot carry over CE credits earned in excess of the producer’s CE term requirements from one CE term to the next.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w:t>
      </w:r>
      <w:r>
        <w:rPr>
          <w:rFonts w:ascii="Times New Roman" w:hAnsi="Times New Roman"/>
          <w:b w:val="false"/>
          <w:i w:val="false"/>
          <w:color w:val="000000"/>
          <w:sz w:val="22"/>
        </w:rPr>
        <w:t> </w:t>
      </w:r>
      <w:r>
        <w:rPr>
          <w:rFonts w:ascii="Times New Roman" w:hAnsi="Times New Roman"/>
          <w:b w:val="false"/>
          <w:i w:val="false"/>
          <w:color w:val="000000"/>
          <w:sz w:val="22"/>
        </w:rPr>
        <w:t>A producer may receive CE credit for self-study courses. A self-study course is considered completed when the examination is received by the 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producer may receive CE credit for self-study courses that are part of a recognized national designation program as described in </w:t>
      </w:r>
      <w:hyperlink r:id="rId12">
        <w:r>
          <w:rPr>
            <w:rStyle w:val="Hyperlink"/>
            <w:rFonts w:ascii="Times New Roman" w:hAnsi="Times New Roman"/>
            <w:b w:val="false"/>
            <w:i w:val="false"/>
            <w:color w:val="000000"/>
            <w:sz w:val="22"/>
          </w:rPr>
          <w:t>subrule 11.5(5)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producer may receive CE credits for self-study courses during a CE term that do not meet the definition of paragraph 11.3(4)</w:t>
      </w:r>
      <w:r>
        <w:rPr>
          <w:rFonts w:ascii="Times New Roman" w:hAnsi="Times New Roman"/>
          <w:b w:val="false"/>
          <w:i/>
          <w:color w:val="000000"/>
          <w:sz w:val="22"/>
        </w:rPr>
        <w:t>“a”</w:t>
      </w:r>
      <w:r>
        <w:rPr>
          <w:rFonts w:ascii="Times New Roman" w:hAnsi="Times New Roman"/>
          <w:b w:val="false"/>
          <w:i w:val="false"/>
          <w:color w:val="000000"/>
          <w:sz w:val="22"/>
        </w:rPr>
        <w:t xml:space="preserve"> if the producer: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Submits an affidavit to the CE provider stating that the examination was independently proctored and was completed without any outside assistance,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Correctly answers at least 70 percent of the questions presented.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w:t>
      </w:r>
      <w:r>
        <w:rPr>
          <w:rFonts w:ascii="Times New Roman" w:hAnsi="Times New Roman"/>
          <w:b w:val="false"/>
          <w:i w:val="false"/>
          <w:color w:val="000000"/>
          <w:sz w:val="22"/>
        </w:rPr>
        <w:t> </w:t>
      </w:r>
      <w:r>
        <w:rPr>
          <w:rFonts w:ascii="Times New Roman" w:hAnsi="Times New Roman"/>
          <w:b w:val="false"/>
          <w:i w:val="false"/>
          <w:color w:val="000000"/>
          <w:sz w:val="22"/>
        </w:rPr>
        <w:t>A producer may not receive CE credit for courses taken prior to the issuance of an initial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w:t>
      </w:r>
      <w:r>
        <w:rPr>
          <w:rFonts w:ascii="Times New Roman" w:hAnsi="Times New Roman"/>
          <w:b w:val="false"/>
          <w:i w:val="false"/>
          <w:color w:val="000000"/>
          <w:sz w:val="22"/>
        </w:rPr>
        <w:t> </w:t>
      </w:r>
      <w:r>
        <w:rPr>
          <w:rFonts w:ascii="Times New Roman" w:hAnsi="Times New Roman"/>
          <w:b w:val="false"/>
          <w:i w:val="false"/>
          <w:color w:val="000000"/>
          <w:sz w:val="22"/>
        </w:rPr>
        <w:t xml:space="preserve">A producer cannot receive CE credit for the same course twice in one CE term. A producer cannot receive CE credit both for the classroom portion and for the examination portion of a national designation program as defined in </w:t>
      </w:r>
      <w:hyperlink r:id="rId13">
        <w:r>
          <w:rPr>
            <w:rStyle w:val="Hyperlink"/>
            <w:rFonts w:ascii="Times New Roman" w:hAnsi="Times New Roman"/>
            <w:b w:val="false"/>
            <w:i w:val="false"/>
            <w:color w:val="000000"/>
            <w:sz w:val="22"/>
          </w:rPr>
          <w:t>subrule 11.5(5)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w:t>
      </w:r>
      <w:r>
        <w:rPr>
          <w:rFonts w:ascii="Times New Roman" w:hAnsi="Times New Roman"/>
          <w:b w:val="false"/>
          <w:i w:val="false"/>
          <w:color w:val="000000"/>
          <w:sz w:val="22"/>
        </w:rPr>
        <w:t> </w:t>
      </w:r>
      <w:r>
        <w:rPr>
          <w:rFonts w:ascii="Times New Roman" w:hAnsi="Times New Roman"/>
          <w:b w:val="false"/>
          <w:i w:val="false"/>
          <w:color w:val="000000"/>
          <w:sz w:val="22"/>
        </w:rPr>
        <w:t>A producer may elect to comply with the CE requirements by taking and passing the appropriate licensing examination for each qualification held by the producer.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11.3(8)</w:t>
      </w:r>
      <w:r>
        <w:rPr>
          <w:rFonts w:ascii="Times New Roman" w:hAnsi="Times New Roman"/>
          <w:b w:val="false"/>
          <w:i w:val="false"/>
          <w:color w:val="000000"/>
          <w:sz w:val="22"/>
        </w:rPr>
        <w:t> </w:t>
      </w:r>
      <w:r>
        <w:rPr>
          <w:rFonts w:ascii="Times New Roman" w:hAnsi="Times New Roman"/>
          <w:b w:val="false"/>
          <w:i w:val="false"/>
          <w:color w:val="000000"/>
          <w:sz w:val="22"/>
        </w:rPr>
        <w:t xml:space="preserve"> A resident producer who only holds qualification for a crop insurance line of authority needs only to demonstrate the following to renew: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producer has completed all training and continuing education requirements imposed by the federal Risk Management Association, if any;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producer has completed 18 credits of continuing education, 3 of which must be in the area of ethics.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5602C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191—11.4</w:t>
      </w:r>
      <w:r>
        <w:rPr>
          <w:rFonts w:ascii="Times New Roman" w:hAnsi="Times New Roman"/>
          <w:b/>
          <w:i w:val="false"/>
          <w:color w:val="000000"/>
          <w:sz w:val="22"/>
        </w:rPr>
        <w:t xml:space="preserve">(505,522B) </w:t>
      </w:r>
      <w:r>
        <w:rPr>
          <w:rFonts w:ascii="Times New Roman" w:hAnsi="Times New Roman"/>
          <w:b/>
          <w:i w:val="false"/>
          <w:color w:val="000000"/>
          <w:sz w:val="22"/>
        </w:rPr>
        <w:t xml:space="preserve">Proof of completion of 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color w:val="000000"/>
          <w:sz w:val="22"/>
        </w:rPr>
        <w:t xml:space="preserve">Producer duties.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Producers must demonstrate compliance with the CE requirements at the time of license renewal. Procedures for completing the license renewal process are outlined in </w:t>
      </w:r>
      <w:hyperlink r:id="rId14">
        <w:r>
          <w:rPr>
            <w:rStyle w:val="Hyperlink"/>
            <w:rFonts w:ascii="Times New Roman" w:hAnsi="Times New Roman"/>
            <w:b w:val="false"/>
            <w:i w:val="false"/>
            <w:color w:val="000000"/>
            <w:sz w:val="22"/>
          </w:rPr>
          <w:t>191—Chapter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Producers must maintain a record of all CE courses completed by keeping the original certificates of completion for four years after the end of the year of attendance.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color w:val="000000"/>
          <w:sz w:val="22"/>
        </w:rPr>
        <w:t xml:space="preserve">Insurer duties regarding federal flood insurance. </w:t>
      </w:r>
      <w:r>
        <w:rPr>
          <w:rFonts w:ascii="Times New Roman" w:hAnsi="Times New Roman"/>
          <w:b w:val="false"/>
          <w:i w:val="false"/>
          <w:color w:val="000000"/>
          <w:sz w:val="22"/>
        </w:rPr>
        <w:t>An insurer authorized to do business in Iowa must demonstrate to the division, upon the division’s request, that producers appointed by the insurer have complied with all continuing education guidelines as established by the National Flood Insurance Program (NFIP).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191—11.5</w:t>
      </w:r>
      <w:r>
        <w:rPr>
          <w:rFonts w:ascii="Times New Roman" w:hAnsi="Times New Roman"/>
          <w:b/>
          <w:i w:val="false"/>
          <w:color w:val="000000"/>
          <w:sz w:val="22"/>
        </w:rPr>
        <w:t xml:space="preserve">(505,522B) </w:t>
      </w:r>
      <w:r>
        <w:rPr>
          <w:rFonts w:ascii="Times New Roman" w:hAnsi="Times New Roman"/>
          <w:b/>
          <w:i w:val="false"/>
          <w:color w:val="000000"/>
          <w:sz w:val="22"/>
        </w:rPr>
        <w:t xml:space="preserve">Course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val="false"/>
          <w:color w:val="000000"/>
          <w:sz w:val="22"/>
        </w:rPr>
        <w:t>To qualify for approval a course must be designed to expand technical insurance skills and knowledge obtained prior to initial licensure or to develop new and relevant skills and knowledge.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val="false"/>
          <w:color w:val="000000"/>
          <w:sz w:val="22"/>
        </w:rPr>
        <w:t>Any approved active CE provider must submit a request for approval of any course, program of study, or subject for continuing education credit to the division on an NAIC uniform form. If an outside vendor is retained by the division for course reviews, requests for approval must be filed directly with the vendor.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w:t>
      </w:r>
      <w:r>
        <w:rPr>
          <w:rFonts w:ascii="Times New Roman" w:hAnsi="Times New Roman"/>
          <w:b w:val="false"/>
          <w:i w:val="false"/>
          <w:color w:val="000000"/>
          <w:sz w:val="22"/>
        </w:rPr>
        <w:t> </w:t>
      </w:r>
      <w:r>
        <w:rPr>
          <w:rFonts w:ascii="Times New Roman" w:hAnsi="Times New Roman"/>
          <w:b w:val="false"/>
          <w:i w:val="false"/>
          <w:color w:val="000000"/>
          <w:sz w:val="22"/>
        </w:rPr>
        <w:t>Requests for course approval that do not include all required information will be returned as incomplete.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15">
        <w:r>
          <w:rPr>
            <w:rStyle w:val="Hyperlink"/>
            <w:rFonts w:ascii="Times New Roman" w:hAnsi="Times New Roman"/>
            <w:b w:val="false"/>
            <w:i w:val="false"/>
            <w:color w:val="000000"/>
            <w:sz w:val="22"/>
          </w:rPr>
          <w:t>subrule 11.5(5)</w:t>
        </w:r>
      </w:hyperlink>
      <w:r>
        <w:rPr>
          <w:rFonts w:ascii="Times New Roman" w:hAnsi="Times New Roman"/>
          <w:b w:val="false"/>
          <w:i w:val="false"/>
          <w:color w:val="000000"/>
          <w:sz w:val="22"/>
        </w:rPr>
        <w:t>, requests for approval must be submitted at least 30 days prior to the beginning of the course. A request for renewal of a previously approved course must be submitted at least 30 days prior to the end of the 24-month approval period. Requests received later may be disapproved.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11.5(5)</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for approval of any self-study course that is part of a recognized national designation program may be filed within 60 days after the course is completed. This course will be reviewed and may be approved for up to the number of credits awarded for passage of the national examination in topics that are otherwise approvable under these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11.5(6)</w:t>
      </w:r>
      <w:r>
        <w:rPr>
          <w:rFonts w:ascii="Times New Roman" w:hAnsi="Times New Roman"/>
          <w:b w:val="false"/>
          <w:i w:val="false"/>
          <w:color w:val="000000"/>
          <w:sz w:val="22"/>
        </w:rPr>
        <w:t> </w:t>
      </w:r>
      <w:r>
        <w:rPr>
          <w:rFonts w:ascii="Times New Roman" w:hAnsi="Times New Roman"/>
          <w:b w:val="false"/>
          <w:i w:val="false"/>
          <w:color w:val="000000"/>
          <w:sz w:val="22"/>
        </w:rPr>
        <w:t>An insurance producer who attends a classroom course offered by a college, university or governmental agency that has not been approved by the division may make application for approval of the provider and course for CE credit. The application must be filed within 60 days of attendance at the course and must contain sufficient materials to allow for a thorough evaluation of the provider, course content, and instructor qualifications. To be eligible for CE credit, the course must meet all division guidelines for course approval. All course review fees must be paid by the producer.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w:t>
      </w:r>
      <w:r>
        <w:rPr>
          <w:rFonts w:ascii="Times New Roman" w:hAnsi="Times New Roman"/>
          <w:b w:val="false"/>
          <w:i w:val="false"/>
          <w:color w:val="000000"/>
          <w:sz w:val="22"/>
        </w:rPr>
        <w:t> </w:t>
      </w:r>
      <w:r>
        <w:rPr>
          <w:rFonts w:ascii="Times New Roman" w:hAnsi="Times New Roman"/>
          <w:b w:val="false"/>
          <w:i w:val="false"/>
          <w:color w:val="000000"/>
          <w:sz w:val="22"/>
        </w:rPr>
        <w:t>A CE course must be offered for a minimum of one credit. Fractional credits will not be awarded. The total credit that may be awarded for a CE course is limited to 36 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11.5(8)</w:t>
      </w:r>
      <w:r>
        <w:rPr>
          <w:rFonts w:ascii="Times New Roman" w:hAnsi="Times New Roman"/>
          <w:b w:val="false"/>
          <w:i w:val="false"/>
          <w:color w:val="000000"/>
          <w:sz w:val="22"/>
        </w:rPr>
        <w:t> </w:t>
      </w:r>
      <w:r>
        <w:rPr>
          <w:rFonts w:ascii="Times New Roman" w:hAnsi="Times New Roman"/>
          <w:b w:val="false"/>
          <w:i w:val="false"/>
          <w:color w:val="000000"/>
          <w:sz w:val="22"/>
        </w:rPr>
        <w:t>Notification will be sent to the CE provider indicating approval or disapproval. Approved courses will be assigned a course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11.5(9)</w:t>
      </w:r>
      <w:r>
        <w:rPr>
          <w:rFonts w:ascii="Times New Roman" w:hAnsi="Times New Roman"/>
          <w:b w:val="false"/>
          <w:i w:val="false"/>
          <w:color w:val="000000"/>
          <w:sz w:val="22"/>
        </w:rPr>
        <w:t> </w:t>
      </w:r>
      <w:r>
        <w:rPr>
          <w:rFonts w:ascii="Times New Roman" w:hAnsi="Times New Roman"/>
          <w:b w:val="false"/>
          <w:i w:val="false"/>
          <w:color w:val="000000"/>
          <w:sz w:val="22"/>
        </w:rPr>
        <w:t>The division may deem the approval of a CE course by another state’s insurance division as adequate evidence that a course is eligible for approval in Iowa and may award the same number of credits for the course awarded by the other state. The CE provider must submit the NAIC uniform form demonstrating the other state’s approval of the CE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11.5(10)</w:t>
      </w:r>
      <w:r>
        <w:rPr>
          <w:rFonts w:ascii="Times New Roman" w:hAnsi="Times New Roman"/>
          <w:b w:val="false"/>
          <w:i w:val="false"/>
          <w:color w:val="000000"/>
          <w:sz w:val="22"/>
        </w:rPr>
        <w:t> </w:t>
      </w:r>
      <w:r>
        <w:rPr>
          <w:rFonts w:ascii="Times New Roman" w:hAnsi="Times New Roman"/>
          <w:b w:val="false"/>
          <w:i w:val="false"/>
          <w:color w:val="000000"/>
          <w:sz w:val="22"/>
        </w:rPr>
        <w:t>Within 30 days of course approval, CE providers must inform the division or its vendor, as directed by the division, of the dates and locations that the course will be offered. Failure to timely file the dates and locations subjects the CE provider to penalty and suspension or rescission of course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11.5(11)</w:t>
      </w:r>
      <w:r>
        <w:rPr>
          <w:rFonts w:ascii="Times New Roman" w:hAnsi="Times New Roman"/>
          <w:b w:val="false"/>
          <w:i w:val="false"/>
          <w:color w:val="000000"/>
          <w:sz w:val="22"/>
        </w:rPr>
        <w:t> </w:t>
      </w:r>
      <w:r>
        <w:rPr>
          <w:rFonts w:ascii="Times New Roman" w:hAnsi="Times New Roman"/>
          <w:b w:val="false"/>
          <w:i w:val="false"/>
          <w:color w:val="000000"/>
          <w:sz w:val="22"/>
        </w:rPr>
        <w:t>CE courses approved by the division may be offered for a 24-month period following the date of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5602C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191—11.6</w:t>
      </w:r>
      <w:r>
        <w:rPr>
          <w:rFonts w:ascii="Times New Roman" w:hAnsi="Times New Roman"/>
          <w:b/>
          <w:i w:val="false"/>
          <w:color w:val="000000"/>
          <w:sz w:val="22"/>
        </w:rPr>
        <w:t xml:space="preserve">(505,522B) </w:t>
      </w:r>
      <w:r>
        <w:rPr>
          <w:rFonts w:ascii="Times New Roman" w:hAnsi="Times New Roman"/>
          <w:b/>
          <w:i w:val="false"/>
          <w:color w:val="000000"/>
          <w:sz w:val="22"/>
        </w:rPr>
        <w:t xml:space="preserve">Topic guidelines.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val="false"/>
          <w:color w:val="000000"/>
          <w:sz w:val="22"/>
        </w:rPr>
        <w:t>The following course topics are examples of subjects that will qualify for approval: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Rating;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Tax laws (specifically related to insurance);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Policy contents;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Proper uses of products;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Ethics;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Risk management;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Iowa insurance laws and administrative rules;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Technical information related to the insurance license;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Errors and omissions;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Estate planning/taxation;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Wills and trusts; and</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Financial planning.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val="false"/>
          <w:color w:val="000000"/>
          <w:sz w:val="22"/>
        </w:rPr>
        <w:t>The following course topics are examples of subjects that will not qualify for approval: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Sales;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Motivation;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Prospecting;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Psychology;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Communication skills;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Prelicense training;</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Supportive office skills (e.g., typing, filing, computers);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Personnel management;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Recruiting; and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Other subjects not related to the insurance license.</w:t>
      </w:r>
    </w:p>
    <w:p>
      <w:pPr>
        <w:spacing w:before="210" w:after="0"/>
        <w:ind w:left="120"/>
        <w:jc w:val="both"/>
      </w:pPr>
      <w:r>
        <w:rPr>
          <w:rFonts w:ascii="Times New Roman" w:hAnsi="Times New Roman"/>
          <w:b/>
          <w:i w:val="false"/>
          <w:color w:val="000000"/>
          <w:sz w:val="22"/>
        </w:rPr>
        <w:t>191—11.7</w:t>
      </w:r>
      <w:r>
        <w:rPr>
          <w:rFonts w:ascii="Times New Roman" w:hAnsi="Times New Roman"/>
          <w:b/>
          <w:i w:val="false"/>
          <w:color w:val="000000"/>
          <w:sz w:val="22"/>
        </w:rPr>
        <w:t xml:space="preserve">(505,522B) </w:t>
      </w:r>
      <w:r>
        <w:rPr>
          <w:rFonts w:ascii="Times New Roman" w:hAnsi="Times New Roman"/>
          <w:b/>
          <w:i w:val="false"/>
          <w:color w:val="000000"/>
          <w:sz w:val="22"/>
        </w:rPr>
        <w:t xml:space="preserve">CE course renewal. </w:t>
      </w:r>
      <w:r>
        <w:rPr>
          <w:rFonts w:ascii="Times New Roman" w:hAnsi="Times New Roman"/>
          <w:b w:val="false"/>
          <w:i w:val="false"/>
          <w:color w:val="000000"/>
          <w:sz w:val="22"/>
        </w:rPr>
        <w:t>Prior to expiration of the 24-month approval period, a CE provider must apply for renewal of each course with the division or its outside vendor. If a CE provider makes a substantial change to the content of a previously approved course, that course will not be eligible for renewal and must be submitted for a complete review.</w:t>
      </w:r>
    </w:p>
    <w:p>
      <w:pPr>
        <w:spacing w:before="210" w:after="0"/>
        <w:ind w:left="120"/>
        <w:jc w:val="both"/>
      </w:pPr>
      <w:r>
        <w:rPr>
          <w:rFonts w:ascii="Times New Roman" w:hAnsi="Times New Roman"/>
          <w:b/>
          <w:i w:val="false"/>
          <w:color w:val="000000"/>
          <w:sz w:val="22"/>
        </w:rPr>
        <w:t>191—11.8</w:t>
      </w:r>
      <w:r>
        <w:rPr>
          <w:rFonts w:ascii="Times New Roman" w:hAnsi="Times New Roman"/>
          <w:b/>
          <w:i w:val="false"/>
          <w:color w:val="000000"/>
          <w:sz w:val="22"/>
        </w:rPr>
        <w:t xml:space="preserve">(505,522B) </w:t>
      </w:r>
      <w:r>
        <w:rPr>
          <w:rFonts w:ascii="Times New Roman" w:hAnsi="Times New Roman"/>
          <w:b/>
          <w:i w:val="false"/>
          <w:color w:val="000000"/>
          <w:sz w:val="22"/>
        </w:rPr>
        <w:t xml:space="preserve">Appeals. </w:t>
      </w:r>
      <w:r>
        <w:rPr>
          <w:rFonts w:ascii="Times New Roman" w:hAnsi="Times New Roman"/>
          <w:b w:val="false"/>
          <w:i w:val="false"/>
          <w:color w:val="000000"/>
          <w:sz w:val="22"/>
        </w:rPr>
        <w:t>A CE provider may appeal the amount of CE credit awarded by the division for a course. An appeal must be made in writing to the division within 30 days of the receipt by the CE provider of the notice of CE credit awarded for the course. If the division retains an outside vendor for course reviews, a CE provider must first complete an appeal process with the vendor before filing an appeal with the division.</w:t>
      </w:r>
    </w:p>
    <w:p>
      <w:pPr>
        <w:spacing w:before="0" w:after="0"/>
        <w:ind w:left="120"/>
        <w:jc w:val="both"/>
      </w:pPr>
      <w:r>
        <w:rPr>
          <w:rFonts w:ascii="Times New Roman" w:hAnsi="Times New Roman"/>
          <w:b/>
          <w:i w:val="false"/>
          <w:color w:val="000000"/>
          <w:sz w:val="22"/>
        </w:rPr>
        <w:t>191—11.9</w:t>
      </w:r>
      <w:r>
        <w:rPr>
          <w:rFonts w:ascii="Times New Roman" w:hAnsi="Times New Roman"/>
          <w:b/>
          <w:i w:val="false"/>
          <w:color w:val="000000"/>
          <w:sz w:val="22"/>
        </w:rPr>
        <w:t xml:space="preserve">(505,522B) </w:t>
      </w:r>
      <w:r>
        <w:rPr>
          <w:rFonts w:ascii="Times New Roman" w:hAnsi="Times New Roman"/>
          <w:b/>
          <w:i w:val="false"/>
          <w:color w:val="000000"/>
          <w:sz w:val="22"/>
        </w:rPr>
        <w:t xml:space="preserve">CE provider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11.9(1)</w:t>
      </w:r>
      <w:r>
        <w:rPr>
          <w:rFonts w:ascii="Times New Roman" w:hAnsi="Times New Roman"/>
          <w:b w:val="false"/>
          <w:i w:val="false"/>
          <w:color w:val="000000"/>
          <w:sz w:val="22"/>
        </w:rPr>
        <w:t> </w:t>
      </w:r>
      <w:r>
        <w:rPr>
          <w:rFonts w:ascii="Times New Roman" w:hAnsi="Times New Roman"/>
          <w:b w:val="false"/>
          <w:i w:val="false"/>
          <w:color w:val="000000"/>
          <w:sz w:val="22"/>
        </w:rPr>
        <w:t>Any school, insurer, industry association or other organization intending to provide a course, program of study, or subject for continuing education credit must submit an application on a form or in a format prescribed by the division to become an approved CE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w:t>
      </w:r>
      <w:r>
        <w:rPr>
          <w:rFonts w:ascii="Times New Roman" w:hAnsi="Times New Roman"/>
          <w:b w:val="false"/>
          <w:i w:val="false"/>
          <w:color w:val="000000"/>
          <w:sz w:val="22"/>
        </w:rPr>
        <w:t> </w:t>
      </w:r>
      <w:r>
        <w:rPr>
          <w:rFonts w:ascii="Times New Roman" w:hAnsi="Times New Roman"/>
          <w:b w:val="false"/>
          <w:i w:val="false"/>
          <w:color w:val="000000"/>
          <w:sz w:val="22"/>
        </w:rPr>
        <w:t>To qualify for approval, a CE provider must demonstrate financial and organizational stability and must agree to comply with the administrative and regulatory constraints set forth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w:t>
      </w:r>
      <w:r>
        <w:rPr>
          <w:rFonts w:ascii="Times New Roman" w:hAnsi="Times New Roman"/>
          <w:b w:val="false"/>
          <w:i w:val="false"/>
          <w:color w:val="000000"/>
          <w:sz w:val="22"/>
        </w:rPr>
        <w:t> </w:t>
      </w:r>
      <w:r>
        <w:rPr>
          <w:rFonts w:ascii="Times New Roman" w:hAnsi="Times New Roman"/>
          <w:b w:val="false"/>
          <w:i w:val="false"/>
          <w:color w:val="000000"/>
          <w:sz w:val="22"/>
        </w:rPr>
        <w:t>CE provider approval is valid for 24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w:t>
      </w:r>
      <w:r>
        <w:rPr>
          <w:rFonts w:ascii="Times New Roman" w:hAnsi="Times New Roman"/>
          <w:b w:val="false"/>
          <w:i w:val="false"/>
          <w:color w:val="000000"/>
          <w:sz w:val="22"/>
        </w:rPr>
        <w:t> </w:t>
      </w:r>
      <w:r>
        <w:rPr>
          <w:rFonts w:ascii="Times New Roman" w:hAnsi="Times New Roman"/>
          <w:b w:val="false"/>
          <w:i w:val="false"/>
          <w:color w:val="000000"/>
          <w:sz w:val="22"/>
        </w:rPr>
        <w:t>A CE provider must complete the renewal process to be eligible to continue serving as a CE provider. Failure to complete the renewal process will result in the expiration of the CE provider’s approval and all previously approved courses.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w:t>
      </w:r>
      <w:r>
        <w:rPr>
          <w:rFonts w:ascii="Times New Roman" w:hAnsi="Times New Roman"/>
          <w:b w:val="false"/>
          <w:i w:val="false"/>
          <w:color w:val="000000"/>
          <w:sz w:val="22"/>
        </w:rPr>
        <w:t> </w:t>
      </w:r>
      <w:r>
        <w:rPr>
          <w:rFonts w:ascii="Times New Roman" w:hAnsi="Times New Roman"/>
          <w:b w:val="false"/>
          <w:i w:val="false"/>
          <w:color w:val="000000"/>
          <w:sz w:val="22"/>
        </w:rPr>
        <w:t>If an outside vendor is retained by the division for CE provider reviews, requests for approval will be filed directly with the vendor.</w:t>
      </w:r>
    </w:p>
    <w:p>
      <w:pPr>
        <w:spacing w:before="0" w:after="0"/>
        <w:ind w:left="120"/>
        <w:jc w:val="both"/>
      </w:pPr>
      <w:r>
        <w:rPr>
          <w:rFonts w:ascii="Times New Roman" w:hAnsi="Times New Roman"/>
          <w:b/>
          <w:i w:val="false"/>
          <w:color w:val="000000"/>
          <w:sz w:val="22"/>
        </w:rPr>
        <w:t>191—11.10</w:t>
      </w:r>
      <w:r>
        <w:rPr>
          <w:rFonts w:ascii="Times New Roman" w:hAnsi="Times New Roman"/>
          <w:b/>
          <w:i w:val="false"/>
          <w:color w:val="000000"/>
          <w:sz w:val="22"/>
        </w:rPr>
        <w:t xml:space="preserve">(505,522B) </w:t>
      </w:r>
      <w:r>
        <w:rPr>
          <w:rFonts w:ascii="Times New Roman" w:hAnsi="Times New Roman"/>
          <w:b/>
          <w:i w:val="false"/>
          <w:color w:val="000000"/>
          <w:sz w:val="22"/>
        </w:rPr>
        <w:t xml:space="preserve">CE provider’s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11.10(1)</w:t>
      </w:r>
      <w:r>
        <w:rPr>
          <w:rFonts w:ascii="Times New Roman" w:hAnsi="Times New Roman"/>
          <w:b w:val="false"/>
          <w:i w:val="false"/>
          <w:color w:val="000000"/>
          <w:sz w:val="22"/>
        </w:rPr>
        <w:t> </w:t>
      </w:r>
      <w:r>
        <w:rPr>
          <w:rFonts w:ascii="Times New Roman" w:hAnsi="Times New Roman"/>
          <w:b w:val="false"/>
          <w:i w:val="false"/>
          <w:color w:val="000000"/>
          <w:sz w:val="22"/>
        </w:rPr>
        <w:t>A CE provider must ensure that each classroom course is conducted by a qualified and competent instructor.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11.10(2)</w:t>
      </w:r>
      <w:r>
        <w:rPr>
          <w:rFonts w:ascii="Times New Roman" w:hAnsi="Times New Roman"/>
          <w:b w:val="false"/>
          <w:i w:val="false"/>
          <w:color w:val="000000"/>
          <w:sz w:val="22"/>
        </w:rPr>
        <w:t> </w:t>
      </w:r>
      <w:r>
        <w:rPr>
          <w:rFonts w:ascii="Times New Roman" w:hAnsi="Times New Roman"/>
          <w:b w:val="false"/>
          <w:i w:val="false"/>
          <w:color w:val="000000"/>
          <w:sz w:val="22"/>
        </w:rPr>
        <w:t>A CE provider must obtain and maintain an attendance record for each course for at least four years from the end of the year in which the course is offered. Upon request by the division, a CE provider must submit copies of attendance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11.10(3)</w:t>
      </w:r>
      <w:r>
        <w:rPr>
          <w:rFonts w:ascii="Times New Roman" w:hAnsi="Times New Roman"/>
          <w:b w:val="false"/>
          <w:i w:val="false"/>
          <w:color w:val="000000"/>
          <w:sz w:val="22"/>
        </w:rPr>
        <w:t> </w:t>
      </w:r>
      <w:r>
        <w:rPr>
          <w:rFonts w:ascii="Times New Roman" w:hAnsi="Times New Roman"/>
          <w:b w:val="false"/>
          <w:i w:val="false"/>
          <w:color w:val="000000"/>
          <w:sz w:val="22"/>
        </w:rPr>
        <w:t>A CE provider of an approved course is responsible for both the attendance of the students and their attention. A CE provider must refuse to award CE credit for time periods when the student was absent.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11.10(4)</w:t>
      </w:r>
      <w:r>
        <w:rPr>
          <w:rFonts w:ascii="Times New Roman" w:hAnsi="Times New Roman"/>
          <w:b w:val="false"/>
          <w:i w:val="false"/>
          <w:color w:val="000000"/>
          <w:sz w:val="22"/>
        </w:rPr>
        <w:t> </w:t>
      </w:r>
      <w:r>
        <w:rPr>
          <w:rFonts w:ascii="Times New Roman" w:hAnsi="Times New Roman"/>
          <w:b w:val="false"/>
          <w:i w:val="false"/>
          <w:color w:val="000000"/>
          <w:sz w:val="22"/>
        </w:rPr>
        <w:t>A CE provider must verify that each examination submitted for a self-study course contains an affidavit following the NAIC CE guidelines from the producer that the examination was independently proctored and that the examination was completed without any outside assistance. A CE provider must refuse to award CE credit to producers who fail to submit a properly completed examination or who fail to correctly answer at least 70 percent of the questions on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11.10(5)</w:t>
      </w:r>
      <w:r>
        <w:rPr>
          <w:rFonts w:ascii="Times New Roman" w:hAnsi="Times New Roman"/>
          <w:b w:val="false"/>
          <w:i w:val="false"/>
          <w:color w:val="000000"/>
          <w:sz w:val="22"/>
        </w:rPr>
        <w:t> </w:t>
      </w:r>
      <w:r>
        <w:rPr>
          <w:rFonts w:ascii="Times New Roman" w:hAnsi="Times New Roman"/>
          <w:b w:val="false"/>
          <w:i w:val="false"/>
          <w:color w:val="000000"/>
          <w:sz w:val="22"/>
        </w:rPr>
        <w:t>Upon request by the division, a CE provider must videotape a course and such recording must be promptly submitted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11.10(6)</w:t>
      </w:r>
      <w:r>
        <w:rPr>
          <w:rFonts w:ascii="Times New Roman" w:hAnsi="Times New Roman"/>
          <w:b w:val="false"/>
          <w:i w:val="false"/>
          <w:color w:val="000000"/>
          <w:sz w:val="22"/>
        </w:rPr>
        <w:t> </w:t>
      </w:r>
      <w:r>
        <w:rPr>
          <w:rFonts w:ascii="Times New Roman" w:hAnsi="Times New Roman"/>
          <w:b w:val="false"/>
          <w:i w:val="false"/>
          <w:color w:val="000000"/>
          <w:sz w:val="22"/>
        </w:rPr>
        <w:t>Upon request by the division, a CE provider must provide a copy of all course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11.10(7)</w:t>
      </w:r>
      <w:r>
        <w:rPr>
          <w:rFonts w:ascii="Times New Roman" w:hAnsi="Times New Roman"/>
          <w:b w:val="false"/>
          <w:i w:val="false"/>
          <w:color w:val="000000"/>
          <w:sz w:val="22"/>
        </w:rPr>
        <w:t> </w:t>
      </w:r>
      <w:r>
        <w:rPr>
          <w:rFonts w:ascii="Times New Roman" w:hAnsi="Times New Roman"/>
          <w:b w:val="false"/>
          <w:i w:val="false"/>
          <w:color w:val="000000"/>
          <w:sz w:val="22"/>
        </w:rPr>
        <w:t>If an approved course is canceled, a CE provider must notify the division, or its outside vendor, and registrants at least 48 hours prior to the course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11.10(8)</w:t>
      </w:r>
      <w:r>
        <w:rPr>
          <w:rFonts w:ascii="Times New Roman" w:hAnsi="Times New Roman"/>
          <w:b w:val="false"/>
          <w:i w:val="false"/>
          <w:color w:val="000000"/>
          <w:sz w:val="22"/>
        </w:rPr>
        <w:t> </w:t>
      </w:r>
      <w:r>
        <w:rPr>
          <w:rFonts w:ascii="Times New Roman" w:hAnsi="Times New Roman"/>
          <w:b w:val="false"/>
          <w:i w:val="false"/>
          <w:color w:val="000000"/>
          <w:sz w:val="22"/>
        </w:rPr>
        <w:t>CE providers must submit rosters of all course attendees to the division’s outside vendor. These reports must be received at the division by the tenth day of the month following the month in which the course is completed. Rosters must be submitted electronically in a manner prescribed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11.10(9)</w:t>
      </w:r>
      <w:r>
        <w:rPr>
          <w:rFonts w:ascii="Times New Roman" w:hAnsi="Times New Roman"/>
          <w:b w:val="false"/>
          <w:i w:val="false"/>
          <w:color w:val="000000"/>
          <w:sz w:val="22"/>
        </w:rPr>
        <w:t> </w:t>
      </w:r>
      <w:r>
        <w:rPr>
          <w:rFonts w:ascii="Times New Roman" w:hAnsi="Times New Roman"/>
          <w:b w:val="false"/>
          <w:i w:val="false"/>
          <w:color w:val="000000"/>
          <w:sz w:val="22"/>
        </w:rPr>
        <w:t>Once a course is completed, the CE provider must issue a certificate of completion to each person who satisfactorily completes a course. The certificate must be issued within 20 days of course completion and must be signed by either the course instructor or the CE provider’s authorized representative. The certificate of completion used by the CE provider must be in a form or format prescribed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11.10(10)</w:t>
      </w:r>
      <w:r>
        <w:rPr>
          <w:rFonts w:ascii="Times New Roman" w:hAnsi="Times New Roman"/>
          <w:b w:val="false"/>
          <w:i w:val="false"/>
          <w:color w:val="000000"/>
          <w:sz w:val="22"/>
        </w:rPr>
        <w:t> </w:t>
      </w:r>
      <w:r>
        <w:rPr>
          <w:rFonts w:ascii="Times New Roman" w:hAnsi="Times New Roman"/>
          <w:b w:val="false"/>
          <w:i w:val="false"/>
          <w:color w:val="000000"/>
          <w:sz w:val="22"/>
        </w:rPr>
        <w:t>CE providers must report to the division any disciplinary action taken against that CE provider by another state licensing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191—11.11</w:t>
      </w:r>
      <w:r>
        <w:rPr>
          <w:rFonts w:ascii="Times New Roman" w:hAnsi="Times New Roman"/>
          <w:b/>
          <w:i w:val="false"/>
          <w:color w:val="000000"/>
          <w:sz w:val="22"/>
        </w:rPr>
        <w:t xml:space="preserve">(505,522B) </w:t>
      </w:r>
      <w:r>
        <w:rPr>
          <w:rFonts w:ascii="Times New Roman" w:hAnsi="Times New Roman"/>
          <w:b/>
          <w:i w:val="false"/>
          <w:color w:val="000000"/>
          <w:sz w:val="22"/>
        </w:rPr>
        <w:t xml:space="preserve">Prohibited conduct—CE providers.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11.11(1)</w:t>
      </w:r>
      <w:r>
        <w:rPr>
          <w:rFonts w:ascii="Times New Roman" w:hAnsi="Times New Roman"/>
          <w:b w:val="false"/>
          <w:i w:val="false"/>
          <w:color w:val="000000"/>
          <w:sz w:val="22"/>
        </w:rPr>
        <w:t> </w:t>
      </w:r>
      <w:r>
        <w:rPr>
          <w:rFonts w:ascii="Times New Roman" w:hAnsi="Times New Roman"/>
          <w:b w:val="false"/>
          <w:i w:val="false"/>
          <w:color w:val="000000"/>
          <w:sz w:val="22"/>
        </w:rPr>
        <w:t>CE providers must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Advertise, prior to approval, that a course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Prepare and distribute certificates of completion before the course has been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Issue inaccurate or incomplete certificates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Refuse to issue certificates of completion to any participant who satisfactorily completes an approved course, except when </w:t>
      </w:r>
      <w:hyperlink r:id="rId16">
        <w:r>
          <w:rPr>
            <w:rStyle w:val="Hyperlink"/>
            <w:rFonts w:ascii="Times New Roman" w:hAnsi="Times New Roman"/>
            <w:b w:val="false"/>
            <w:i w:val="false"/>
            <w:color w:val="000000"/>
            <w:sz w:val="22"/>
          </w:rPr>
          <w:t>subrule 11.10(3)</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subrule 11.10(4)</w:t>
        </w:r>
      </w:hyperlink>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11.11(2)</w:t>
      </w:r>
      <w:r>
        <w:rPr>
          <w:rFonts w:ascii="Times New Roman" w:hAnsi="Times New Roman"/>
          <w:b w:val="false"/>
          <w:i w:val="false"/>
          <w:color w:val="000000"/>
          <w:sz w:val="22"/>
        </w:rPr>
        <w:t> </w:t>
      </w:r>
      <w:r>
        <w:rPr>
          <w:rFonts w:ascii="Times New Roman" w:hAnsi="Times New Roman"/>
          <w:b w:val="false"/>
          <w:i w:val="false"/>
          <w:color w:val="000000"/>
          <w:sz w:val="22"/>
        </w:rPr>
        <w:t>The division may revoke the approval of a continuing education provider or may discipline a continuing education provider, upon a finding that the 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Committed any one or more of the actions prohibited in subrule </w:t>
      </w:r>
      <w:hyperlink r:id="rId18">
        <w:r>
          <w:rPr>
            <w:rStyle w:val="Hyperlink"/>
            <w:rFonts w:ascii="Times New Roman" w:hAnsi="Times New Roman"/>
            <w:b w:val="false"/>
            <w:i w:val="false"/>
            <w:color w:val="000000"/>
            <w:sz w:val="22"/>
          </w:rPr>
          <w:t>11.11(1)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Failed to perform any duties required by these rules;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Committed any other action inconsistent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division finds that a CE provider has violated Iowa laws or these rules, the division must give written notification to the CE provider of the alleged improper conduct and any discipline or sanction imposed. The CE provider may make a written request for a hearing within 30 days of receipt of the notice. The hearing must be held within 30 days of the division’s receipt of the written demand by the CE provider unless the parties agree to a later hearing date. The hearing must be conducted pursuant to </w:t>
      </w:r>
      <w:hyperlink r:id="rId19">
        <w:r>
          <w:rPr>
            <w:rStyle w:val="Hyperlink"/>
            <w:rFonts w:ascii="Times New Roman" w:hAnsi="Times New Roman"/>
            <w:b w:val="false"/>
            <w:i w:val="false"/>
            <w:color w:val="000000"/>
            <w:sz w:val="22"/>
          </w:rPr>
          <w:t>191—Chapter 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11.11(4)</w:t>
      </w:r>
      <w:r>
        <w:rPr>
          <w:rFonts w:ascii="Times New Roman" w:hAnsi="Times New Roman"/>
          <w:b w:val="false"/>
          <w:i w:val="false"/>
          <w:color w:val="000000"/>
          <w:sz w:val="22"/>
        </w:rPr>
        <w:t> </w:t>
      </w:r>
      <w:r>
        <w:rPr>
          <w:rFonts w:ascii="Times New Roman" w:hAnsi="Times New Roman"/>
          <w:b w:val="false"/>
          <w:i w:val="false"/>
          <w:color w:val="000000"/>
          <w:sz w:val="22"/>
        </w:rPr>
        <w:t>A fine may be imposed against a CE provider if the commissioner finds, after hearing, that the CE provider knew or should have known that it was in violation of this chapter. The division may take any one or more of the following actions upon a finding of a violation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 the CE provider to pay a fine not to exceed $1,000 per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 the CE provider to refund the course admission fee to all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 the CE provider to provide a suitable course to replace the course that was found in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Withdraw the approval of courses sponsored by such CE provider;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Take other disciplinary action permitted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191—11.12</w:t>
      </w:r>
      <w:r>
        <w:rPr>
          <w:rFonts w:ascii="Times New Roman" w:hAnsi="Times New Roman"/>
          <w:b/>
          <w:i w:val="false"/>
          <w:color w:val="000000"/>
          <w:sz w:val="22"/>
        </w:rPr>
        <w:t xml:space="preserve">(505,522B) </w:t>
      </w:r>
      <w:r>
        <w:rPr>
          <w:rFonts w:ascii="Times New Roman" w:hAnsi="Times New Roman"/>
          <w:b/>
          <w:i w:val="false"/>
          <w:color w:val="000000"/>
          <w:sz w:val="22"/>
        </w:rPr>
        <w:t xml:space="preserve">Outside vendor. </w:t>
      </w:r>
      <w:r>
        <w:rPr>
          <w:rFonts w:ascii="Times New Roman" w:hAnsi="Times New Roman"/>
          <w:b w:val="false"/>
          <w:i w:val="false"/>
          <w:color w:val="000000"/>
          <w:sz w:val="22"/>
        </w:rPr>
        <w:t xml:space="preserve">The division may enter into a contractual arrangement with a qualified outside vendor to assist the division with any or all continuing education services.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191—11.13</w:t>
      </w:r>
      <w:r>
        <w:rPr>
          <w:rFonts w:ascii="Times New Roman" w:hAnsi="Times New Roman"/>
          <w:b/>
          <w:i w:val="false"/>
          <w:color w:val="000000"/>
          <w:sz w:val="22"/>
        </w:rPr>
        <w:t xml:space="preserve">(505,522B) </w:t>
      </w:r>
      <w:r>
        <w:rPr>
          <w:rFonts w:ascii="Times New Roman" w:hAnsi="Times New Roman"/>
          <w:b/>
          <w:i w:val="false"/>
          <w:color w:val="000000"/>
          <w:sz w:val="22"/>
        </w:rPr>
        <w:t xml:space="preserve">CE course audits. </w:t>
      </w:r>
      <w:r>
        <w:rPr>
          <w:rFonts w:ascii="Times New Roman" w:hAnsi="Times New Roman"/>
          <w:b w:val="false"/>
          <w:i w:val="false"/>
          <w:color w:val="000000"/>
          <w:sz w:val="22"/>
        </w:rPr>
        <w:t>The division may audit any CE course. The cost of the audit will be charged to the CE provider. Any discrepancies between the materials submitted for approval to the division and the content found at the audit, or any evidence of noncompliance with these rules, may subject the CE provider or instructor to administrative sanctions, including imposition of fines. Governmental bodies, such as community colleges and universities, shall not be charged for the cost of an audit.</w:t>
      </w:r>
    </w:p>
    <w:p>
      <w:pPr>
        <w:spacing w:before="0" w:after="0"/>
        <w:ind w:left="120"/>
        <w:jc w:val="both"/>
      </w:pPr>
      <w:r>
        <w:rPr>
          <w:rFonts w:ascii="Times New Roman" w:hAnsi="Times New Roman"/>
          <w:b/>
          <w:i w:val="false"/>
          <w:color w:val="000000"/>
          <w:sz w:val="22"/>
        </w:rPr>
        <w:t>191—11.14</w:t>
      </w:r>
      <w:r>
        <w:rPr>
          <w:rFonts w:ascii="Times New Roman" w:hAnsi="Times New Roman"/>
          <w:b/>
          <w:i w:val="false"/>
          <w:color w:val="000000"/>
          <w:sz w:val="22"/>
        </w:rPr>
        <w:t xml:space="preserve">(505,522B) </w:t>
      </w:r>
      <w:r>
        <w:rPr>
          <w:rFonts w:ascii="Times New Roman" w:hAnsi="Times New Roman"/>
          <w:b/>
          <w:i w:val="false"/>
          <w:color w:val="000000"/>
          <w:sz w:val="22"/>
        </w:rPr>
        <w:t xml:space="preserve">Fees and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11.14(1)</w:t>
      </w:r>
      <w:r>
        <w:rPr>
          <w:rFonts w:ascii="Times New Roman" w:hAnsi="Times New Roman"/>
          <w:b w:val="false"/>
          <w:i w:val="false"/>
          <w:color w:val="000000"/>
          <w:sz w:val="22"/>
        </w:rPr>
        <w:t> </w:t>
      </w:r>
      <w:r>
        <w:rPr>
          <w:rFonts w:ascii="Times New Roman" w:hAnsi="Times New Roman"/>
          <w:b w:val="false"/>
          <w:i w:val="false"/>
          <w:color w:val="000000"/>
          <w:sz w:val="22"/>
        </w:rPr>
        <w:t>The fees for approval and renewal of CE providers, CE courses and registration of instructors shall be set by the outside vendor retained by the division and are subject to approval by the division. Course approval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11.14(2)</w:t>
      </w:r>
      <w:r>
        <w:rPr>
          <w:rFonts w:ascii="Times New Roman" w:hAnsi="Times New Roman"/>
          <w:b w:val="false"/>
          <w:i w:val="false"/>
          <w:color w:val="000000"/>
          <w:sz w:val="22"/>
        </w:rPr>
        <w:t> </w:t>
      </w:r>
      <w:r>
        <w:rPr>
          <w:rFonts w:ascii="Times New Roman" w:hAnsi="Times New Roman"/>
          <w:b w:val="false"/>
          <w:i w:val="false"/>
          <w:color w:val="000000"/>
          <w:sz w:val="22"/>
        </w:rPr>
        <w:t>The division may charge a fee for other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0">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522B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2/26/82, Notice 10/28/81—published 3/17/82, effective 5/1/82]</w:t>
      </w:r>
    </w:p>
    <w:p>
      <w:pPr>
        <w:spacing w:before="0" w:after="0"/>
        <w:ind w:left="120"/>
        <w:jc w:val="center"/>
      </w:pPr>
      <w:r>
        <w:rPr>
          <w:rFonts w:ascii="Times New Roman" w:hAnsi="Times New Roman"/>
          <w:b w:val="false"/>
          <w:i w:val="false"/>
          <w:color w:val="000000"/>
          <w:sz w:val="21"/>
        </w:rPr>
        <w:t>[Filed 12/10/82, Notice 10/27/82—published 1/5/83, effective 2/9/83]</w:t>
      </w:r>
    </w:p>
    <w:p>
      <w:pPr>
        <w:spacing w:before="0" w:after="0"/>
        <w:ind w:left="120"/>
        <w:jc w:val="center"/>
      </w:pPr>
      <w:r>
        <w:rPr>
          <w:rFonts w:ascii="Times New Roman" w:hAnsi="Times New Roman"/>
          <w:b w:val="false"/>
          <w:i w:val="false"/>
          <w:color w:val="000000"/>
          <w:sz w:val="21"/>
        </w:rPr>
        <w:t>[Filed 9/21/84, Notice 7/4/84—published 10/10/84, effective 11/15/84]</w:t>
      </w:r>
    </w:p>
    <w:p>
      <w:pPr>
        <w:spacing w:before="0" w:after="0"/>
        <w:ind w:left="120"/>
        <w:jc w:val="center"/>
      </w:pPr>
      <w:r>
        <w:rPr>
          <w:rFonts w:ascii="Times New Roman" w:hAnsi="Times New Roman"/>
          <w:b w:val="false"/>
          <w:i w:val="false"/>
          <w:color w:val="000000"/>
          <w:sz w:val="21"/>
        </w:rPr>
        <w:t>[Filed without Notice 11/30/84—published 12/19/84, effective 1/23/85]</w:t>
      </w:r>
    </w:p>
    <w:p>
      <w:pPr>
        <w:spacing w:before="0" w:after="0"/>
        <w:ind w:left="120"/>
        <w:jc w:val="center"/>
      </w:pPr>
      <w:r>
        <w:rPr>
          <w:rFonts w:ascii="Times New Roman" w:hAnsi="Times New Roman"/>
          <w:b w:val="false"/>
          <w:i w:val="false"/>
          <w:color w:val="000000"/>
          <w:sz w:val="21"/>
        </w:rPr>
        <w:t>[Filed 7/26/85, Notice 6/5/85—published 8/14/85, effective 9/18/85]</w:t>
      </w:r>
    </w:p>
    <w:p>
      <w:pPr>
        <w:spacing w:before="0" w:after="0"/>
        <w:ind w:left="120"/>
        <w:jc w:val="center"/>
      </w:pPr>
      <w:r>
        <w:rPr>
          <w:rFonts w:ascii="Times New Roman" w:hAnsi="Times New Roman"/>
          <w:b w:val="false"/>
          <w:i w:val="false"/>
          <w:color w:val="000000"/>
          <w:sz w:val="21"/>
        </w:rPr>
        <w:t xml:space="preserve">[Editorially transferred from [510] to [191], IAC Supp. 10/22/86;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10/25/91, Notice 9/18/91—published 11/13/91, effective 12/18/91]</w:t>
      </w:r>
    </w:p>
    <w:p>
      <w:pPr>
        <w:spacing w:before="0" w:after="0"/>
        <w:ind w:left="120"/>
        <w:jc w:val="center"/>
      </w:pPr>
      <w:r>
        <w:rPr>
          <w:rFonts w:ascii="Times New Roman" w:hAnsi="Times New Roman"/>
          <w:b w:val="false"/>
          <w:i w:val="false"/>
          <w:color w:val="000000"/>
          <w:sz w:val="21"/>
        </w:rPr>
        <w:t>[Filed 11/19/93, Notice 10/13/93—published 12/8/93, effective 1/12/94]</w:t>
      </w:r>
    </w:p>
    <w:p>
      <w:pPr>
        <w:spacing w:before="0" w:after="0"/>
        <w:ind w:left="120"/>
        <w:jc w:val="center"/>
      </w:pPr>
      <w:r>
        <w:rPr>
          <w:rFonts w:ascii="Times New Roman" w:hAnsi="Times New Roman"/>
          <w:b w:val="false"/>
          <w:i w:val="false"/>
          <w:color w:val="000000"/>
          <w:sz w:val="21"/>
        </w:rPr>
        <w:t>[Filed 10/21/94, Notice 9/14/94—published 11/9/94, effective 12/14/94]</w:t>
      </w:r>
    </w:p>
    <w:p>
      <w:pPr>
        <w:spacing w:before="0" w:after="0"/>
        <w:ind w:left="120"/>
        <w:jc w:val="center"/>
      </w:pPr>
      <w:r>
        <w:rPr>
          <w:rFonts w:ascii="Times New Roman" w:hAnsi="Times New Roman"/>
          <w:b w:val="false"/>
          <w:i w:val="false"/>
          <w:color w:val="000000"/>
          <w:sz w:val="21"/>
        </w:rPr>
        <w:t>[Filed 2/2/96, Notice 12/6/95—published 2/28/96, effective 4/3/96]</w:t>
      </w:r>
    </w:p>
    <w:p>
      <w:pPr>
        <w:spacing w:before="0" w:after="0"/>
        <w:ind w:left="120"/>
        <w:jc w:val="center"/>
      </w:pPr>
      <w:r>
        <w:rPr>
          <w:rFonts w:ascii="Times New Roman" w:hAnsi="Times New Roman"/>
          <w:b w:val="false"/>
          <w:i w:val="false"/>
          <w:color w:val="000000"/>
          <w:sz w:val="21"/>
        </w:rPr>
        <w:t>[Filed 12/28/98, Notice 11/4/98—published 1/13/99, effective 2/17/99]</w:t>
      </w:r>
    </w:p>
    <w:p>
      <w:pPr>
        <w:spacing w:before="0" w:after="0"/>
        <w:ind w:left="120"/>
        <w:jc w:val="center"/>
      </w:pPr>
      <w:r>
        <w:rPr>
          <w:rFonts w:ascii="Times New Roman" w:hAnsi="Times New Roman"/>
          <w:b w:val="false"/>
          <w:i w:val="false"/>
          <w:color w:val="000000"/>
          <w:sz w:val="21"/>
        </w:rPr>
        <w:t>[Filed 10/5/06, Notice 8/30/06—published 10/25/06, effective 11/29/06]</w:t>
      </w:r>
    </w:p>
    <w:p>
      <w:pPr>
        <w:spacing w:before="0" w:after="0"/>
        <w:ind w:left="120"/>
        <w:jc w:val="center"/>
      </w:pPr>
      <w:r>
        <w:rPr>
          <w:rFonts w:ascii="Times New Roman" w:hAnsi="Times New Roman"/>
          <w:b w:val="false"/>
          <w:i w:val="false"/>
          <w:color w:val="000000"/>
          <w:sz w:val="21"/>
        </w:rPr>
        <w:t>[Filed 10/5/07, Notice 8/29/07—published 10/24/07, effective 11/28/07]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7662B</w:t>
      </w:r>
      <w:r>
        <w:rPr>
          <w:rFonts w:ascii="Times New Roman" w:hAnsi="Times New Roman"/>
          <w:b w:val="false"/>
          <w:i w:val="false"/>
          <w:color w:val="000000"/>
          <w:sz w:val="21"/>
        </w:rPr>
        <w:t xml:space="preserve"> (Notice ARC 7536B, IAB 1/28/09)</w:t>
      </w:r>
      <w:r>
        <w:rPr>
          <w:rFonts w:ascii="Times New Roman" w:hAnsi="Times New Roman"/>
          <w:b w:val="false"/>
          <w:i w:val="false"/>
          <w:color w:val="000000"/>
          <w:sz w:val="21"/>
        </w:rPr>
        <w:t>, IAB 3/25/09, effective 4/29/09]</w:t>
      </w:r>
    </w:p>
    <w:p>
      <w:pPr>
        <w:spacing w:before="0" w:after="0"/>
        <w:ind w:left="120"/>
        <w:jc w:val="center"/>
      </w:pPr>
      <w:r>
        <w:rPr>
          <w:rFonts w:ascii="Times New Roman" w:hAnsi="Times New Roman"/>
          <w:b w:val="false"/>
          <w:i w:val="false"/>
          <w:color w:val="000000"/>
          <w:sz w:val="21"/>
        </w:rPr>
        <w:t>[Filed ARC 4910C</w:t>
      </w:r>
      <w:r>
        <w:rPr>
          <w:rFonts w:ascii="Times New Roman" w:hAnsi="Times New Roman"/>
          <w:b w:val="false"/>
          <w:i w:val="false"/>
          <w:color w:val="000000"/>
          <w:sz w:val="21"/>
        </w:rPr>
        <w:t xml:space="preserve"> (Notice ARC 4821C, IAB 12/18/19)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5602C</w:t>
      </w:r>
      <w:r>
        <w:rPr>
          <w:rFonts w:ascii="Times New Roman" w:hAnsi="Times New Roman"/>
          <w:b w:val="false"/>
          <w:i w:val="false"/>
          <w:color w:val="000000"/>
          <w:sz w:val="21"/>
        </w:rPr>
        <w:t xml:space="preserve"> (Notice ARC 5500C, IAB 3/10/21)</w:t>
      </w:r>
      <w:r>
        <w:rPr>
          <w:rFonts w:ascii="Times New Roman" w:hAnsi="Times New Roman"/>
          <w:b w:val="false"/>
          <w:i w:val="false"/>
          <w:color w:val="000000"/>
          <w:sz w:val="21"/>
        </w:rPr>
        <w:t>, IAB 5/5/21, effective 6/9/21]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5.pdf" Type="http://schemas.openxmlformats.org/officeDocument/2006/relationships/hyperlink" Id="rId5"/>
    <Relationship TargetMode="External" Target="https://www.legis.iowa.gov/docs/ico/chapter/522B.pdf" Type="http://schemas.openxmlformats.org/officeDocument/2006/relationships/hyperlink" Id="rId6"/>
    <Relationship TargetMode="External" Target="https://www.legis.iowa.gov/docs/iac/chapter/191.10.pdf" Type="http://schemas.openxmlformats.org/officeDocument/2006/relationships/hyperlink" Id="rId7"/>
    <Relationship TargetMode="External" Target="https://www.legis.iowa.gov/docs/iac/rule/191.11.3.pdf" Type="http://schemas.openxmlformats.org/officeDocument/2006/relationships/hyperlink" Id="rId8"/>
    <Relationship TargetMode="External" Target="https://www.legis.iowa.gov/docs/iac/rule/191.1.1.pdf" Type="http://schemas.openxmlformats.org/officeDocument/2006/relationships/hyperlink" Id="rId9"/>
    <Relationship TargetMode="External" Target="https://www.legis.iowa.gov/docs/iac/rule/191.10.2.pdf" Type="http://schemas.openxmlformats.org/officeDocument/2006/relationships/hyperlink" Id="rId10"/>
    <Relationship TargetMode="External" Target="https://www.legis.iowa.gov/docs/ico/chapter/522B.pdf" Type="http://schemas.openxmlformats.org/officeDocument/2006/relationships/hyperlink" Id="rId11"/>
    <Relationship TargetMode="External" Target="https://www.legis.iowa.gov/docs/iac/rule/191.11.5.pdf" Type="http://schemas.openxmlformats.org/officeDocument/2006/relationships/hyperlink" Id="rId12"/>
    <Relationship TargetMode="External" Target="https://www.legis.iowa.gov/docs/iac/rule/191.11.5.pdf" Type="http://schemas.openxmlformats.org/officeDocument/2006/relationships/hyperlink" Id="rId13"/>
    <Relationship TargetMode="External" Target="https://www.legis.iowa.gov/docs/iac/chapter/191.10.pdf" Type="http://schemas.openxmlformats.org/officeDocument/2006/relationships/hyperlink" Id="rId14"/>
    <Relationship TargetMode="External" Target="https://www.legis.iowa.gov/docs/iac/rule/191.11.5.pdf" Type="http://schemas.openxmlformats.org/officeDocument/2006/relationships/hyperlink" Id="rId15"/>
    <Relationship TargetMode="External" Target="https://www.legis.iowa.gov/docs/iac/rule/191.11.10.pdf" Type="http://schemas.openxmlformats.org/officeDocument/2006/relationships/hyperlink" Id="rId16"/>
    <Relationship TargetMode="External" Target="https://www.legis.iowa.gov/docs/iac/rule/191.11.10.pdf" Type="http://schemas.openxmlformats.org/officeDocument/2006/relationships/hyperlink" Id="rId17"/>
    <Relationship TargetMode="External" Target="https://www.legis.iowa.gov/docs/iac/rule/191.11.11.pdf" Type="http://schemas.openxmlformats.org/officeDocument/2006/relationships/hyperlink" Id="rId18"/>
    <Relationship TargetMode="External" Target="https://www.legis.iowa.gov/docs/iac/chapter/191.3.pdf" Type="http://schemas.openxmlformats.org/officeDocument/2006/relationships/hyperlink" Id="rId19"/>
    <Relationship TargetMode="External" Target="https://www.legis.iowa.gov/docs/ico/chapter/505.pdf" Type="http://schemas.openxmlformats.org/officeDocument/2006/relationships/hyperlink" Id="rId20"/>
    <Relationship TargetMode="External" Target="https://www.legis.iowa.gov/docs/ico/chapter/522B.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