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601</w:t>
      </w:r>
    </w:p>
    <w:p>
      <w:pPr>
        <w:spacing w:before="0" w:after="0"/>
        <w:ind w:left="120"/>
        <w:jc w:val="center"/>
      </w:pPr>
      <w:r>
        <w:rPr>
          <w:rFonts w:ascii="Times New Roman" w:hAnsi="Times New Roman"/>
          <w:b w:val="false"/>
          <w:i w:val="false"/>
          <w:color w:val="000000"/>
          <w:sz w:val="21"/>
        </w:rPr>
        <w:t>FILING RETURNS, PAYMENT OF TAX, PENALTY AND INTEREST,</w:t>
      </w:r>
      <w:r>
        <w:br/>
      </w:r>
      <w:r>
        <w:rPr>
          <w:rFonts w:ascii="Times New Roman" w:hAnsi="Times New Roman"/>
          <w:b w:val="false"/>
          <w:i w:val="false"/>
          <w:color w:val="000000"/>
          <w:sz w:val="21"/>
        </w:rPr>
        <w:t>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58]</w:t>
      </w:r>
    </w:p>
    <w:p>
      <w:pPr>
        <w:spacing w:before="0" w:after="0"/>
        <w:ind w:left="120"/>
        <w:jc w:val="both"/>
      </w:pPr>
      <w:r>
        <w:rPr>
          <w:rFonts w:ascii="Times New Roman" w:hAnsi="Times New Roman"/>
          <w:b/>
          <w:i w:val="false"/>
          <w:color w:val="000000"/>
          <w:sz w:val="22"/>
        </w:rPr>
        <w:t>701—601.1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r>
        <w:rPr>
          <w:rFonts w:ascii="Times New Roman" w:hAnsi="Times New Roman"/>
          <w:b w:val="false"/>
          <w:i w:val="false"/>
          <w:color w:val="000000"/>
          <w:sz w:val="22"/>
        </w:rPr>
        <w:t xml:space="preserve">Every financial institution as defined in </w:t>
      </w:r>
      <w:hyperlink r:id="rId4">
        <w:r>
          <w:rPr>
            <w:rStyle w:val="Hyperlink"/>
            <w:rFonts w:ascii="Times New Roman" w:hAnsi="Times New Roman"/>
            <w:b w:val="false"/>
            <w:i w:val="false"/>
            <w:color w:val="000000"/>
            <w:sz w:val="22"/>
          </w:rPr>
          <w:t>701—subrule 600.1(2)</w:t>
        </w:r>
      </w:hyperlink>
      <w:r>
        <w:rPr>
          <w:rFonts w:ascii="Times New Roman" w:hAnsi="Times New Roman"/>
          <w:b w:val="false"/>
          <w:i w:val="false"/>
          <w:color w:val="000000"/>
          <w:sz w:val="22"/>
        </w:rPr>
        <w:t>, regardless of net income, shall file a true and accurate return of its income or loss for the taxable period. The return shall be signed by the president or other duly authorized officer. If the financial institution was inactive or not doing business within Iowa, although qualified to do so, during the taxable year, the return must contain a statement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color w:val="000000"/>
          <w:sz w:val="22"/>
        </w:rPr>
        <w:t xml:space="preserve">Income tax of financial institutions in liquidation. </w:t>
      </w:r>
      <w:r>
        <w:rPr>
          <w:rFonts w:ascii="Times New Roman" w:hAnsi="Times New Roman"/>
          <w:b w:val="false"/>
          <w:i w:val="false"/>
          <w:color w:val="000000"/>
          <w:sz w:val="22"/>
        </w:rPr>
        <w:t>When a financial institution is in the process of liquidation, or in the hands of a receiver, the franchise tax returns must be made under oath or affirmation of the persons responsible for the conduct of the affairs of such financial institutions, and must be filed at the same time and in the same manner as required of other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color w:val="000000"/>
          <w:sz w:val="22"/>
        </w:rPr>
        <w:t xml:space="preserve">Franchise tax returns for financial institutions dissolved. </w:t>
      </w:r>
      <w:r>
        <w:rPr>
          <w:rFonts w:ascii="Times New Roman" w:hAnsi="Times New Roman"/>
          <w:b w:val="false"/>
          <w:i w:val="false"/>
          <w:color w:val="000000"/>
          <w:sz w:val="22"/>
        </w:rPr>
        <w:t>Financial institutions which have been dissolved during the income year must file franchise tax returns for the period prior to dissolution which has not already been covered by previous returns. Officers and directors are responsible for the filing of the returns and for the payment of taxes, if any, for the audit period provided by law.</w:t>
      </w:r>
    </w:p>
    <w:p>
      <w:pPr>
        <w:spacing w:before="0" w:after="0"/>
        <w:ind w:left="120"/>
        <w:jc w:val="both"/>
      </w:pPr>
      <w:r>
        <w:rPr>
          <w:rFonts w:ascii="Times New Roman" w:hAnsi="Times New Roman"/>
          <w:b w:val="false"/>
          <w:i w:val="false"/>
          <w:color w:val="000000"/>
          <w:sz w:val="22"/>
        </w:rPr>
        <w:t>Where a financial institution dissolves and disposes of its assets without making provision for the payment of its accrued Iowa franchise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601.2(1)</w:t>
      </w:r>
      <w:r>
        <w:rPr>
          <w:rFonts w:ascii="Times New Roman" w:hAnsi="Times New Roman"/>
          <w:b w:val="false"/>
          <w:i w:val="false"/>
          <w:color w:val="000000"/>
          <w:sz w:val="22"/>
        </w:rPr>
        <w:t> </w:t>
      </w:r>
      <w:r>
        <w:rPr>
          <w:rFonts w:ascii="Times New Roman" w:hAnsi="Times New Roman"/>
          <w:b w:val="false"/>
          <w:i/>
          <w:color w:val="000000"/>
          <w:sz w:val="22"/>
        </w:rPr>
        <w:t xml:space="preserve">Returns of financial institutions. </w:t>
      </w:r>
      <w:r>
        <w:rPr>
          <w:rFonts w:ascii="Times New Roman" w:hAnsi="Times New Roman"/>
          <w:b w:val="false"/>
          <w:i w:val="false"/>
          <w:color w:val="000000"/>
          <w:sz w:val="22"/>
        </w:rPr>
        <w:t>A return of income for all financial institutions must be filed on or before the delinquency date. The delinquency date for all financial institutions is the day following the last day of the fourth month following the close of the taxpayer’s taxable year, whether the return is made on the basis of the calendar year or the fiscal year; or the day following the last day of the period covered by an extension of time granted by the director. When the last day prior to the delinquency date falls on a Saturday, Sunday, or holiday, the return will be timely if it is filed on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delinquency date for filing, no penalty will attach should the return not be received until after that date. Mailed returns should be addressed to Franchise Tax Processing, P.O. Box 10413,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601.2(2)</w:t>
      </w:r>
      <w:r>
        <w:rPr>
          <w:rFonts w:ascii="Times New Roman" w:hAnsi="Times New Roman"/>
          <w:b w:val="false"/>
          <w:i w:val="false"/>
          <w:color w:val="000000"/>
          <w:sz w:val="22"/>
        </w:rPr>
        <w:t> </w:t>
      </w:r>
      <w:r>
        <w:rPr>
          <w:rFonts w:ascii="Times New Roman" w:hAnsi="Times New Roman"/>
          <w:b w:val="false"/>
          <w:i/>
          <w:color w:val="000000"/>
          <w:sz w:val="22"/>
        </w:rPr>
        <w:t xml:space="preserve">Short period returns. </w:t>
      </w:r>
      <w:r>
        <w:rPr>
          <w:rFonts w:ascii="Times New Roman" w:hAnsi="Times New Roman"/>
          <w:b w:val="false"/>
          <w:i w:val="false"/>
          <w:color w:val="000000"/>
          <w:sz w:val="22"/>
        </w:rPr>
        <w:t xml:space="preserve">Where under a provision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financial institution is required to file a tax return for a period of less than 12 months, a short period Iowa franchise tax return must be filed for the same period. The delinquency date for the short period return is 45 days after the federal due date not considering any federal extension of time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filing returns for tax years beginning on or after January 1, 1991. </w:t>
      </w:r>
      <w:r>
        <w:rPr>
          <w:rFonts w:ascii="Times New Roman" w:hAnsi="Times New Roman"/>
          <w:b w:val="false"/>
          <w:i w:val="false"/>
          <w:color w:val="000000"/>
          <w:sz w:val="22"/>
        </w:rPr>
        <w:t xml:space="preserve">See </w:t>
      </w:r>
      <w:hyperlink r:id="rId7">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color w:val="000000"/>
          <w:sz w:val="22"/>
        </w:rPr>
        <w:t xml:space="preserve">Use and completeness of prescribed forms. </w:t>
      </w:r>
      <w:r>
        <w:rPr>
          <w:rFonts w:ascii="Times New Roman" w:hAnsi="Times New Roman"/>
          <w:b w:val="false"/>
          <w:i w:val="false"/>
          <w:color w:val="000000"/>
          <w:sz w:val="22"/>
        </w:rPr>
        <w:t>Returns shall be made by financial institutions on forms supplied by the department. Taxpayers not supplied with the proper forms shall make application for same to the department in ample time to have their returns made, verified and filed on or before the delinquency date. Taxpayers shall carefully prepare their returns so as to fully and clearly set forth the data required. For lack of a prescribed form, a statement made by a taxpayer disclosing the taxpayer’s gross income and the deductions therefrom may be accepted as a tentative return, and if verified and filed within the prescribed time, will relieve the taxpayer from liability to penalties, provided that without unnecessary delay such a tentative return is replaced by a return made on the proper form. Each question shall be answered and each direction complied with in the same manner as if the forms and instructions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any return required by the statute.</w:t>
      </w:r>
    </w:p>
    <w:p>
      <w:pPr>
        <w:spacing w:before="0" w:after="0"/>
        <w:ind w:left="120"/>
        <w:jc w:val="both"/>
      </w:pPr>
      <w:r>
        <w:rPr>
          <w:rFonts w:ascii="Times New Roman" w:hAnsi="Times New Roman"/>
          <w:b w:val="false"/>
          <w:i w:val="false"/>
          <w:color w:val="000000"/>
          <w:sz w:val="22"/>
        </w:rPr>
        <w:t>Returns received which are not completed, but merely state “see schedule attached” are not considered to be a properly filed return and may be returned to the taxpayer for proper completion. This may result in the imposition of penalties and interest due to the return being filed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color w:val="000000"/>
          <w:sz w:val="22"/>
        </w:rPr>
        <w:t xml:space="preserve">Form for filing—financial institutions. </w:t>
      </w:r>
      <w:r>
        <w:rPr>
          <w:rFonts w:ascii="Times New Roman" w:hAnsi="Times New Roman"/>
          <w:b w:val="false"/>
          <w:i w:val="false"/>
          <w:color w:val="000000"/>
          <w:sz w:val="22"/>
        </w:rPr>
        <w:t xml:space="preserve">Financial institutions as defined by Iowa Code section </w:t>
      </w:r>
      <w:hyperlink r:id="rId11">
        <w:r>
          <w:rPr>
            <w:rStyle w:val="Hyperlink"/>
            <w:rFonts w:ascii="Times New Roman" w:hAnsi="Times New Roman"/>
            <w:b w:val="false"/>
            <w:i w:val="false"/>
            <w:color w:val="000000"/>
            <w:sz w:val="22"/>
          </w:rPr>
          <w:t>422.61(1)</w:t>
        </w:r>
      </w:hyperlink>
      <w:r>
        <w:rPr>
          <w:rFonts w:ascii="Times New Roman" w:hAnsi="Times New Roman"/>
          <w:b w:val="false"/>
          <w:i w:val="false"/>
          <w:color w:val="000000"/>
          <w:sz w:val="22"/>
        </w:rPr>
        <w:t xml:space="preserve"> shall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capital gains, tax computation and tax deposits, work opportunity credit computation, foreign tax credit computation,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financial institution whose income is included in a consolidated federal income tax return files an Iowa return, federal consolidating income statements as properly computed for federal income tax purposes showing the income and expenses of each member of the consolidated group shall be required together with the following additional schedules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Dividend income and special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opportunity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Foreign tax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Holding company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Schedules detailing other income and other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subject to franchise tax was erroneously stated on the Iowa return, or changed by Internal Revenue Service audit, or otherwise, the taxpayer shall file an amended Iowa return along with supporting schedules, to include the amended federal return and a copy of the federal revenue agent’s report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12">
        <w:r>
          <w:rPr>
            <w:rStyle w:val="Hyperlink"/>
            <w:rFonts w:ascii="Times New Roman" w:hAnsi="Times New Roman"/>
            <w:b w:val="false"/>
            <w:i w:val="false"/>
            <w:color w:val="000000"/>
            <w:sz w:val="22"/>
          </w:rPr>
          <w:t>701—subrule 600.2(1)</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701—603.3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701—601.4</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Quarterly estimated payments. </w:t>
      </w:r>
      <w:r>
        <w:rPr>
          <w:rFonts w:ascii="Times New Roman" w:hAnsi="Times New Roman"/>
          <w:b w:val="false"/>
          <w:i w:val="false"/>
          <w:color w:val="000000"/>
          <w:sz w:val="22"/>
        </w:rPr>
        <w:t xml:space="preserve">Effective for taxable years beginning on or after July 1, 1977, financial institutions are required to make quarterly payments of estimated franchise tax. Rules pertaining to the estimated tax are contained in </w:t>
      </w:r>
      <w:hyperlink r:id="rId17">
        <w:r>
          <w:rPr>
            <w:rStyle w:val="Hyperlink"/>
            <w:rFonts w:ascii="Times New Roman" w:hAnsi="Times New Roman"/>
            <w:b w:val="false"/>
            <w:i w:val="false"/>
            <w:color w:val="000000"/>
            <w:sz w:val="22"/>
          </w:rPr>
          <w:t>701—Chapter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on unpaid tax. </w:t>
      </w:r>
      <w:r>
        <w:rPr>
          <w:rFonts w:ascii="Times New Roman" w:hAnsi="Times New Roman"/>
          <w:b w:val="false"/>
          <w:i w:val="false"/>
          <w:color w:val="000000"/>
          <w:sz w:val="22"/>
        </w:rPr>
        <w:t xml:space="preserve">See rule </w:t>
      </w:r>
      <w:hyperlink r:id="rId18">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for penalty for tax periods beginning on or after January 1, 1991. See rule </w:t>
      </w:r>
      <w:hyperlink r:id="rId19">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with each fraction of a month considered to be an entire month. See rule </w:t>
      </w:r>
      <w:hyperlink r:id="rId20">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The department will accept uncertified checks in payment of franchise taxes, provided such checks are collectible for their full amount without any deduction for exchange or other charges. The date on which the department receives the check will be considered the date of payment, so far as the taxpayer is concerned, unless the check is dishonored. If one check is remitted to cover two or more financial institutions’ taxes, the remittance must be accompanied by a letter of transmittal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drawer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any cash, money order or other instrument included in the same remittance;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each financial institution whose tax is to be paid by the remittance;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payment on account of each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601.4(5)</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the check good, the director will proceed to collect the tax as though no check had been given. A taxpayer who tenders a certified check in payment for taxes is not relieved from the taxpayer’s obligation until the check has been paid.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701—601.5</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1997, a small business corporation or a new corporation, that is a financial institution, for its first year of existence, that through the operation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55(e) is exempt from the federal alternative minimum tax, is not subject to Iowa alternative minimum tax. A small business corporation that is a financial institution may apply any alternative minimum tax credit carryforward to the extent of its regular Iowa franchise tax liability.</w:t>
      </w:r>
    </w:p>
    <w:p>
      <w:pPr>
        <w:spacing w:before="0" w:after="0"/>
        <w:ind w:left="120"/>
        <w:jc w:val="both"/>
      </w:pPr>
      <w:r>
        <w:rPr>
          <w:rFonts w:ascii="Times New Roman" w:hAnsi="Times New Roman"/>
          <w:b w:val="false"/>
          <w:i w:val="false"/>
          <w:color w:val="000000"/>
          <w:sz w:val="22"/>
        </w:rPr>
        <w:t xml:space="preserve">For tax years beginning on or after January 1, 1987, the minimum tax is imposed only to the extent that it exceeds the taxpayer’s regular tax liability computed under Iowa Code section </w:t>
      </w:r>
      <w:hyperlink r:id="rId22">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The minimum tax rate is 60 percent of the maximum franchise tax rate rounded to the nearest one-tenth of 1 percent or 3 percent. Minimum taxable income is computed as follows:</w:t>
      </w:r>
    </w:p>
    <w:tbl>
      <w:tblPr>
        <w:tblW w:w="0" w:type="auto"/>
        <w:tblCellSpacing w:w="0" w:type="auto"/>
        <w:tblBorders>
          <w:top w:val="none"/>
          <w:left w:val="none"/>
          <w:bottom w:val="none"/>
          <w:right w:val="none"/>
          <w:insideH w:val="none"/>
          <w:insideV w:val="none"/>
        </w:tblBorders>
        <w:tblLayout w:type="fixed"/>
      </w:tblPr>
      <w:tblGrid>
        <w:gridCol w:w="1755"/>
        <w:gridCol w:w="9435"/>
      </w:tblGrid>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taxable income as adjusted by Iowa Code sections </w:t>
            </w:r>
            <w:hyperlink r:id="rId23">
              <w:r>
                <w:rPr>
                  <w:rStyle w:val="Hyperlink"/>
                  <w:rFonts w:ascii="Times New Roman" w:hAnsi="Times New Roman"/>
                  <w:b w:val="false"/>
                  <w:i w:val="false"/>
                  <w:color w:val="000000"/>
                  <w:sz w:val="16"/>
                </w:rPr>
                <w:t>422.35</w:t>
              </w:r>
            </w:hyperlink>
            <w:r>
              <w:rPr>
                <w:rFonts w:ascii="Times New Roman" w:hAnsi="Times New Roman"/>
                <w:b w:val="false"/>
                <w:i w:val="false"/>
                <w:color w:val="000000"/>
                <w:sz w:val="16"/>
              </w:rPr>
              <w:t xml:space="preserve"> and </w:t>
            </w:r>
            <w:hyperlink r:id="rId24">
              <w:r>
                <w:rPr>
                  <w:rStyle w:val="Hyperlink"/>
                  <w:rFonts w:ascii="Times New Roman" w:hAnsi="Times New Roman"/>
                  <w:b w:val="false"/>
                  <w:i w:val="false"/>
                  <w:color w:val="000000"/>
                  <w:sz w:val="16"/>
                </w:rPr>
                <w:t>422.61(4)</w:t>
              </w:r>
            </w:hyperlink>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 items, adjustments and losses added back</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Allocable income including allocable preference items</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Apportionment percentage</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allocable to Iowa including allocable preference items</w:t>
            </w:r>
          </w:p>
        </w:tc>
      </w:tr>
      <w:tr>
        <w:trPr>
          <w:trHeight w:val="39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94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alternative tax net operating loss deduction</w:t>
            </w:r>
          </w:p>
          <w:p>
            <w:pPr>
              <w:spacing w:before="0" w:after="0"/>
              <w:ind w:left="160"/>
              <w:jc w:val="left"/>
            </w:pPr>
            <w:r>
              <w:rPr>
                <w:rFonts w:ascii="Times New Roman" w:hAnsi="Times New Roman"/>
                <w:b w:val="false"/>
                <w:i w:val="false"/>
                <w:color w:val="000000"/>
                <w:sz w:val="16"/>
              </w:rPr>
              <w:t>$40,000 exemption amount</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alternative minimum taxable income</w:t>
            </w:r>
          </w:p>
        </w:tc>
      </w:tr>
    </w:tbl>
    <w:p>
      <w:pPr>
        <w:spacing w:before="0" w:after="0"/>
        <w:ind w:left="120"/>
        <w:jc w:val="both"/>
      </w:pPr>
      <w:r>
        <w:rPr>
          <w:rFonts w:ascii="Times New Roman" w:hAnsi="Times New Roman"/>
          <w:b w:val="false"/>
          <w:i w:val="false"/>
          <w:color w:val="000000"/>
          <w:sz w:val="22"/>
        </w:rPr>
        <w:t xml:space="preserve">For taxable years beginning on or after January 1, 1987, the items of tax preference are the same items of tax preference under Section 57 except for Subsections (a)(1) and (a)(5)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The adjustments to state taxable income are those adjustments required by Section 56 except for Subsections (a)(4), (c)(1), (d), and (g)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computed without adjustments and the $40,000 exemption. The state alternative tax net operating loss deduction shall be substituted for the amounts in </w:t>
      </w:r>
      <w:r>
        <w:rPr>
          <w:rFonts w:ascii="Times New Roman" w:hAnsi="Times New Roman"/>
          <w:b w:val="false"/>
          <w:i w:val="false"/>
          <w:color w:val="000000"/>
          <w:sz w:val="22"/>
        </w:rPr>
        <w:t>Section 56(g)(1)(B) of the Internal Revenue Code</w:t>
      </w:r>
      <w:r>
        <w:rPr>
          <w:rFonts w:ascii="Times New Roman" w:hAnsi="Times New Roman"/>
          <w:b w:val="false"/>
          <w:i w:val="false"/>
          <w:color w:val="000000"/>
          <w:sz w:val="22"/>
        </w:rPr>
        <w:t xml:space="preserve">. For tax years beginning on or after January 1, 1988,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state and other political subdivisions and from regulated investment companies exempt from federal income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shall be subtracted net of amortization of any discount or premium. Losses to be added are those losses required to be added by </w:t>
      </w:r>
      <w:r>
        <w:rPr>
          <w:rFonts w:ascii="Times New Roman" w:hAnsi="Times New Roman"/>
          <w:b w:val="false"/>
          <w:i w:val="false"/>
          <w:color w:val="000000"/>
          <w:sz w:val="22"/>
        </w:rPr>
        <w:t>Section 58 of the Internal Revenue Code</w:t>
      </w:r>
      <w:r>
        <w:rPr>
          <w:rFonts w:ascii="Times New Roman" w:hAnsi="Times New Roman"/>
          <w:b w:val="false"/>
          <w:i w:val="false"/>
          <w:color w:val="000000"/>
          <w:sz w:val="22"/>
        </w:rPr>
        <w:t xml:space="preserve"> in computing federal alternative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preference items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Intangible drilling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Accelerated depreciation or amortization on certain property placed in service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Mining exploration and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alternative minimum net operating loss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Book income or adjusted earnings and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Losses added back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Farm losses;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Passive activity losses.</w:t>
      </w:r>
    </w:p>
    <w:p>
      <w:pPr>
        <w:spacing w:before="0" w:after="0"/>
        <w:ind w:left="120"/>
        <w:jc w:val="both"/>
      </w:pPr>
      <w:r>
        <w:rPr>
          <w:rFonts w:ascii="Times New Roman" w:hAnsi="Times New Roman"/>
          <w:b w:val="false"/>
          <w:i w:val="false"/>
          <w:color w:val="000000"/>
          <w:sz w:val="22"/>
        </w:rPr>
        <w:t>Computation of Iowa alternative minimum tax net operating loss deduction.</w:t>
      </w:r>
    </w:p>
    <w:p>
      <w:pPr>
        <w:spacing w:before="0" w:after="0"/>
        <w:ind w:left="120"/>
        <w:jc w:val="both"/>
      </w:pPr>
      <w:r>
        <w:rPr>
          <w:rFonts w:ascii="Times New Roman" w:hAnsi="Times New Roman"/>
          <w:b w:val="false"/>
          <w:i w:val="false"/>
          <w:color w:val="000000"/>
          <w:sz w:val="22"/>
        </w:rPr>
        <w:t xml:space="preserve">Net operating losses computed under rule </w:t>
      </w:r>
      <w:hyperlink r:id="rId25">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carried forward from tax years beginning before January 1, 1987, are deductible without adjustment.</w:t>
      </w:r>
    </w:p>
    <w:p>
      <w:pPr>
        <w:spacing w:before="0" w:after="0"/>
        <w:ind w:left="120"/>
        <w:jc w:val="both"/>
      </w:pPr>
      <w:r>
        <w:rPr>
          <w:rFonts w:ascii="Times New Roman" w:hAnsi="Times New Roman"/>
          <w:b w:val="false"/>
          <w:i w:val="false"/>
          <w:color w:val="000000"/>
          <w:sz w:val="22"/>
        </w:rPr>
        <w:t>Net operating losses from tax years beginning after December 31, 1986, which are carried back or carried forward to the current tax year shall be reduced by the amount of tax preferences and adjustments taken into account in computing the net operating loss prior to applying allocation and apportionment. The deduction for a net operating loss from a tax year beginning after December 31, 1986, which is carried back or carried forward shall not exceed 90 percent of the alternative minimum taxable income computed without regard for the net operating loss deduction.</w:t>
      </w:r>
    </w:p>
    <w:p>
      <w:pPr>
        <w:spacing w:before="0" w:after="0"/>
        <w:ind w:left="120"/>
        <w:jc w:val="both"/>
      </w:pPr>
      <w:r>
        <w:rPr>
          <w:rFonts w:ascii="Times New Roman" w:hAnsi="Times New Roman"/>
          <w:b w:val="false"/>
          <w:i w:val="false"/>
          <w:color w:val="000000"/>
          <w:sz w:val="22"/>
        </w:rPr>
        <w:t>The exemption amount shall be reduced by 25 percent of the amount that the alternative minimum taxable income computed without regard to the $40,000 exemption exceeds $150,000. The exemption shall not be reduced below zero.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shows the computation of the alternative minimum tax when there are net operating loss carryforwards and carrybacks including an alternative minimum tax net operating loss.</w:t>
      </w:r>
    </w:p>
    <w:tbl>
      <w:tblPr>
        <w:tblW w:w="0" w:type="auto"/>
        <w:tblCellSpacing w:w="0" w:type="auto"/>
        <w:tblBorders>
          <w:top w:val="none"/>
          <w:left w:val="none"/>
          <w:bottom w:val="none"/>
          <w:right w:val="none"/>
          <w:insideH w:val="none"/>
          <w:insideV w:val="none"/>
        </w:tblBorders>
        <w:tblLayout w:type="fixed"/>
      </w:tblPr>
      <w:tblGrid>
        <w:gridCol w:w="1020"/>
        <w:gridCol w:w="7548"/>
        <w:gridCol w:w="1601"/>
        <w:gridCol w:w="1020"/>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tax year 1987, the following information is available:</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preferences and adjustments</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income tax expensed on federal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 carryforward</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tax year 1988, the following information is available:</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&lt;90,000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preferences and adjustments</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franchise tax refund reported on federal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alternative minimum tax for 1987 before the 1988 net operating loss carryback should be computed as follows:</w:t>
            </w:r>
          </w:p>
        </w:tc>
      </w:tr>
      <w:tr>
        <w:trPr>
          <w:trHeight w:val="31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Iowa Tax</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Iowa franchise tax expensed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 carryforward</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$ 15,878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income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$ 794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$ 94,278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alternative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$ 69,278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exemption amount</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$ 29,278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 3%</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regular tax</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$ 84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*Net operating loss carryforwards from tax years beginning before January 1, 1987, are deductible at 100 percent without reduction for items of tax preference or adjustments arising in the tax year.</w:t>
      </w:r>
    </w:p>
    <w:p>
      <w:pPr>
        <w:spacing w:before="0" w:after="0"/>
        <w:ind w:left="120"/>
        <w:jc w:val="both"/>
      </w:pPr>
      <w:r>
        <w:rPr>
          <w:rFonts w:ascii="Times New Roman" w:hAnsi="Times New Roman"/>
          <w:b w:val="false"/>
          <w:i w:val="false"/>
          <w:color w:val="000000"/>
          <w:sz w:val="22"/>
        </w:rPr>
        <w:t>The alternative minimum tax for 1987 after the 1988 net operating loss carryback should be computed as follows:</w:t>
      </w:r>
    </w:p>
    <w:tbl>
      <w:tblPr>
        <w:tblW w:w="0" w:type="auto"/>
        <w:tblCellSpacing w:w="0" w:type="auto"/>
        <w:tblBorders>
          <w:top w:val="none"/>
          <w:left w:val="none"/>
          <w:bottom w:val="none"/>
          <w:right w:val="none"/>
          <w:insideH w:val="none"/>
          <w:insideV w:val="none"/>
        </w:tblBorders>
        <w:tblLayout w:type="fixed"/>
      </w:tblPr>
      <w:tblGrid>
        <w:gridCol w:w="1031"/>
        <w:gridCol w:w="7558"/>
        <w:gridCol w:w="1611"/>
        <w:gridCol w:w="989"/>
      </w:tblGrid>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Iowa Tax</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Iowa franchise tax expensed</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$ 15,878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carryback from 1988</w:t>
            </w:r>
            <w:r>
              <w:rPr>
                <w:rFonts w:ascii="Times New Roman" w:hAnsi="Times New Roman"/>
                <w:b w:val="false"/>
                <w:i w:val="false"/>
                <w:color w:val="000000"/>
                <w:sz w:val="18"/>
                <w:vertAlign w:val="superscript"/>
              </w:rPr>
              <w:t>1</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&lt;71,000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$ 94,278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 from pre-1987 tax year</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$ 69,278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alternative minimum tax NOL</w:t>
            </w:r>
            <w:r>
              <w:rPr>
                <w:rFonts w:ascii="Times New Roman" w:hAnsi="Times New Roman"/>
                <w:b w:val="false"/>
                <w:i w:val="false"/>
                <w:color w:val="000000"/>
                <w:sz w:val="18"/>
                <w:vertAlign w:val="superscript"/>
              </w:rPr>
              <w:t>2</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&lt;62,350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$ 6,928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exemption</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taxable income after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Computation of 1988 Iowa NOL</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&lt;90,000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Iowa refund in federal income</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Computation of 1988 Alternative Minimum Tax NOL</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&lt;66,878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39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NOL carryback limited to 90% of alternative minimum income before NOL and exemption*</w:t>
            </w:r>
          </w:p>
        </w:tc>
        <w:tc>
          <w:tcPr>
            <w:tcW w:w="161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&lt;62,350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&gt;</w:t>
            </w:r>
          </w:p>
        </w:tc>
      </w:tr>
      <w:tr>
        <w:trPr>
          <w:trHeight w:val="33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 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$ 4,528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the alternative minimum tax, net operating loss carryforward or carryback from tax years beginning after December 31, 1986, must be reduced by items of tax preference and adjustments, and are limited to 90 percent of alternative minimum taxable income before deduction of the post-1986 NOL and the $40,000 exemption amount ($69,278 × 90% = $62,350).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601.5(3)</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1986, estimated payments are required for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601.5(4)</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minimum tax paid in a prior tax year. Minimum tax paid in prior tax years commencing with tax years beginning on or after January 1, 1987, by a taxpayer can be claimed as a tax credit against the taxpayer’s regular income tax liability in a subsequent tax year. Therefore, 1988 is the first tax year that the minimum tax credit is available for use, and the credit is based on the minimum tax paid by the taxpayer for 1987. The minimum tax credit may only be used against regular income tax for a tax year to the extent that the regular tax is greater than the tentative minimum tax for the tax year. If the minimum tax credit is not used up against the regular tax for a tax year, the remaining credit is carried to the following tax year to be applied against the regular income tax liability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 of minimum tax credit on Schedule IA 8827F. </w:t>
      </w:r>
      <w:r>
        <w:rPr>
          <w:rFonts w:ascii="Times New Roman" w:hAnsi="Times New Roman"/>
          <w:b w:val="false"/>
          <w:i w:val="false"/>
          <w:color w:val="000000"/>
          <w:sz w:val="22"/>
        </w:rPr>
        <w:t>The minimum tax credit is computed on Schedule IA 8827F from information on Schedule IA 4626F for prior tax years, Form IA 1120F and Schedule IA 4626F for the current year and from Schedule IA 8827F for prior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reported $5,000 of minimum tax for 2011. For 2012, taxpayer reported regular tax of $8,000, and the minimum tax liability is $6,000. The minimum tax credit is $2,000 for 2012 because, although the taxpayer had an $8,000 regular tax liability, the credit is allowed only to the extent that the regular tax exceeds the minimum tax. Since only $2,000 of the carryover credit from 2011 was used, there is a $3,000 minimum tax carryover credit to 2013.</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reported $2,500 of minimum tax for 2011. For 2012, taxpayer reported regular tax of $8,000, and the minimum tax liability is $5,000. The minimum tax credit is $2,500 for 2012 because, although the regular tax exceeded the minimum tax by $3,000, the credit is allowed only to the extent of minimum tax paid for prior tax years. There is no minimum tax carryover credit to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after merger. </w:t>
      </w:r>
      <w:r>
        <w:rPr>
          <w:rFonts w:ascii="Times New Roman" w:hAnsi="Times New Roman"/>
          <w:b w:val="false"/>
          <w:i w:val="false"/>
          <w:color w:val="000000"/>
          <w:sz w:val="22"/>
        </w:rPr>
        <w:t>When two or more financial institutions merge or consolidate into one financial organization, the minimum tax credit of the merged or consolidated operation is available for use by the survivor of the merger or consolidation.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701—601.6</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Refunds and overpayments.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601.6(1)</w:t>
      </w:r>
      <w:r>
        <w:rPr>
          <w:rFonts w:ascii="Times New Roman" w:hAnsi="Times New Roman"/>
          <w:b w:val="false"/>
          <w:i w:val="false"/>
          <w:color w:val="000000"/>
          <w:sz w:val="22"/>
        </w:rPr>
        <w:t xml:space="preserve"> to </w:t>
      </w:r>
      <w:r>
        <w:rPr>
          <w:rFonts w:ascii="Times New Roman" w:hAnsi="Times New Roman"/>
          <w:b/>
          <w:i w:val="false"/>
          <w:color w:val="000000"/>
          <w:sz w:val="22"/>
        </w:rPr>
        <w:t>601.6(8)</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601.6(9)</w:t>
      </w:r>
      <w:r>
        <w:rPr>
          <w:rFonts w:ascii="Times New Roman" w:hAnsi="Times New Roman"/>
          <w:b w:val="false"/>
          <w:i w:val="false"/>
          <w:color w:val="000000"/>
          <w:sz w:val="22"/>
        </w:rPr>
        <w:t> </w:t>
      </w:r>
      <w:r>
        <w:rPr>
          <w:rFonts w:ascii="Times New Roman" w:hAnsi="Times New Roman"/>
          <w:b w:val="false"/>
          <w:i/>
          <w:color w:val="000000"/>
          <w:sz w:val="22"/>
        </w:rPr>
        <w:t xml:space="preserve">For refund claims received by the department after June 11, 1984.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the first day of the second calendar month following the actual payment date,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601.6(11)</w:t>
      </w:r>
      <w:r>
        <w:rPr>
          <w:rFonts w:ascii="Times New Roman" w:hAnsi="Times New Roman"/>
          <w:b w:val="false"/>
          <w:i w:val="false"/>
          <w:color w:val="000000"/>
          <w:sz w:val="22"/>
        </w:rPr>
        <w:t> </w:t>
      </w:r>
      <w:r>
        <w:rPr>
          <w:rFonts w:ascii="Times New Roman" w:hAnsi="Times New Roman"/>
          <w:b w:val="false"/>
          <w:i/>
          <w:color w:val="000000"/>
          <w:sz w:val="22"/>
        </w:rPr>
        <w:t xml:space="preserve">Interest commencing on or after January 1, 1982. </w:t>
      </w:r>
      <w:r>
        <w:rPr>
          <w:rFonts w:ascii="Times New Roman" w:hAnsi="Times New Roman"/>
          <w:b w:val="false"/>
          <w:i w:val="false"/>
          <w:color w:val="000000"/>
          <w:sz w:val="22"/>
        </w:rPr>
        <w:t xml:space="preserve">See rule </w:t>
      </w:r>
      <w:hyperlink r:id="rId27">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regarding the rate of interest charged by the department on delinquent taxes and the rate paid by the department on refunds commencing on or after January 1, 1982.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601.6(13)</w:t>
      </w:r>
      <w:r>
        <w:rPr>
          <w:rFonts w:ascii="Times New Roman" w:hAnsi="Times New Roman"/>
          <w:b w:val="false"/>
          <w:i w:val="false"/>
          <w:color w:val="000000"/>
          <w:sz w:val="22"/>
        </w:rPr>
        <w:t> </w:t>
      </w:r>
      <w:r>
        <w:rPr>
          <w:rFonts w:ascii="Times New Roman" w:hAnsi="Times New Roman"/>
          <w:b w:val="false"/>
          <w:i/>
          <w:color w:val="000000"/>
          <w:sz w:val="22"/>
        </w:rPr>
        <w:t xml:space="preserve">Overpayment—interest accruing on overpayments resulting from returns due on or after April 30, 1981.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701—601.7</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of franchise tax revenues. </w:t>
      </w:r>
      <w:r>
        <w:rPr>
          <w:rFonts w:ascii="Times New Roman" w:hAnsi="Times New Roman"/>
          <w:b w:val="false"/>
          <w:i w:val="false"/>
          <w:color w:val="000000"/>
          <w:sz w:val="22"/>
        </w:rPr>
        <w:t xml:space="preserve">For fiscal years prior to July 1, 2004, each quarterly distribution shall be made up of the tax shown due on the franchise tax returns received during that quarter, net of all refunds of franchise tax established during that quarter. In determining the portion of franchise tax revenues to be distributed to cities and counties for fiscal years prior to July 1, 2004, each financial institution, as defined by Iowa Code section </w:t>
      </w:r>
      <w:hyperlink r:id="rId28">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is required to submit the appropriate allocation data with the filing of its Iowa franchise tax return. Each financial institution shall accumulate or maintain data to properly determine the business activity ratios as prescribed in subrules </w:t>
      </w:r>
      <w:hyperlink r:id="rId29">
        <w:r>
          <w:rPr>
            <w:rStyle w:val="Hyperlink"/>
            <w:rFonts w:ascii="Times New Roman" w:hAnsi="Times New Roman"/>
            <w:b w:val="false"/>
            <w:i w:val="false"/>
            <w:color w:val="000000"/>
            <w:sz w:val="22"/>
          </w:rPr>
          <w:t>601.7(1)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601.7(2)</w:t>
        </w:r>
      </w:hyperlink>
      <w:r>
        <w:rPr>
          <w:rFonts w:ascii="Times New Roman" w:hAnsi="Times New Roman"/>
          <w:b w:val="false"/>
          <w:i w:val="false"/>
          <w:color w:val="000000"/>
          <w:sz w:val="22"/>
        </w:rPr>
        <w:t>. The allocation shall be made on the basis of business activity for each office location. The word “office” shall mean a branch office, a drive-in bank depository or any other establishment whereby the business pertaining to the financial institution is carried 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601.7(1)</w:t>
      </w:r>
      <w:r>
        <w:rPr>
          <w:rFonts w:ascii="Times New Roman" w:hAnsi="Times New Roman"/>
          <w:b w:val="false"/>
          <w:i w:val="false"/>
          <w:color w:val="000000"/>
          <w:sz w:val="22"/>
        </w:rPr>
        <w:t> </w:t>
      </w:r>
      <w:r>
        <w:rPr>
          <w:rFonts w:ascii="Times New Roman" w:hAnsi="Times New Roman"/>
          <w:b w:val="false"/>
          <w:i/>
          <w:color w:val="000000"/>
          <w:sz w:val="22"/>
        </w:rPr>
        <w:t xml:space="preserve">Business activity determination for a production credit association. </w:t>
      </w:r>
      <w:r>
        <w:rPr>
          <w:rFonts w:ascii="Times New Roman" w:hAnsi="Times New Roman"/>
          <w:b w:val="false"/>
          <w:i w:val="false"/>
          <w:color w:val="000000"/>
          <w:sz w:val="22"/>
        </w:rPr>
        <w:t>A production credit association shall measure its business activity on the basis of loan volume. “Loan volume” shall mean total loans originated during the taxable period. The business activity for each office location shall be that percentage of loans originated by each office to total loans originated for all office locations during the taxable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601.7(2)</w:t>
      </w:r>
      <w:r>
        <w:rPr>
          <w:rFonts w:ascii="Times New Roman" w:hAnsi="Times New Roman"/>
          <w:b w:val="false"/>
          <w:i w:val="false"/>
          <w:color w:val="000000"/>
          <w:sz w:val="22"/>
        </w:rPr>
        <w:t> </w:t>
      </w:r>
      <w:r>
        <w:rPr>
          <w:rFonts w:ascii="Times New Roman" w:hAnsi="Times New Roman"/>
          <w:b w:val="false"/>
          <w:i/>
          <w:color w:val="000000"/>
          <w:sz w:val="22"/>
        </w:rPr>
        <w:t xml:space="preserve">Business activity determination for a financial institution other than a production credit association. </w:t>
      </w:r>
      <w:r>
        <w:rPr>
          <w:rFonts w:ascii="Times New Roman" w:hAnsi="Times New Roman"/>
          <w:b w:val="false"/>
          <w:i w:val="false"/>
          <w:color w:val="000000"/>
          <w:sz w:val="22"/>
        </w:rPr>
        <w:t>A financial institution, other than a production credit association, shall measure its business activity on a basis of net deposits. The business activity of each office shall be that percentage of average “savings and demand deposits net of withdrawals” for each office location to the total average “savings and demand deposits net of withdrawals” for all office locations.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701—601.8</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For tax years beginning on or after January 1, 2000, a financial institution may claim on the franchise tax return the pro rata share of the Iowa eligible housing business tax credit from a partnership, limited liability company, estate or trust which has been approved as an eligible housing business by the economic development authority. The enterprise zone program was repealed on July 1, 2014, and the eligible housing business tax credit has been replaced with the workforce housing tax incentives program. See rule </w:t>
      </w:r>
      <w:hyperlink r:id="rId32">
        <w:r>
          <w:rPr>
            <w:rStyle w:val="Hyperlink"/>
            <w:rFonts w:ascii="Times New Roman" w:hAnsi="Times New Roman"/>
            <w:b w:val="false"/>
            <w:i w:val="false"/>
            <w:color w:val="000000"/>
            <w:sz w:val="22"/>
          </w:rPr>
          <w:t>701—601.22</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An eligible housing business may receive a tax credit of up to 10 percent of the new investment which is directly related to the building or rehabilitating of homes in an enterprise zone. The tax credit may be taken on the tax return for the tax year in which the home is ready for occupancy. The portion of the credit claimed by the taxpayer shall be in the same ratio as the taxpayer’s pro-rata share of the earnings of the partnership, limited liability company, estate or trust, except for projects beginning on or after July 1, 2005, which used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 Any eligible housing business tax credit in excess of the franchise tax liability must be carried forward for seven years or until it is used, whichever is the earlier.</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601.8(1)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hand or power tools necessary to build or rehabilitate homes.</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2014 Iowa Code section </w:t>
      </w:r>
      <w:hyperlink r:id="rId33">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to be an eligible housing business, the taxpayer may be required to repay all or a part of the tax incentives the business received. Irrespective of the fact that the statute of limitations to assess the taxpayer for repayment of the income tax credit may have expired, the department may proceed to collect the tax incentives forfeited by failure to maintain the requirements of 2014 Iowa Code section </w:t>
      </w:r>
      <w:hyperlink r:id="rId34">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is because it is a recovery of an incentive, rather than an adjustment to the taxpayer’s tax liability. Details on the calculation of the repayment can be found in </w:t>
      </w:r>
      <w:hyperlink r:id="rId35">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36">
        <w:r>
          <w:rPr>
            <w:rStyle w:val="Hyperlink"/>
            <w:rFonts w:ascii="Times New Roman" w:hAnsi="Times New Roman"/>
            <w:b w:val="false"/>
            <w:i w:val="false"/>
            <w:color w:val="000000"/>
            <w:sz w:val="22"/>
          </w:rPr>
          <w:t>601.8(2)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37">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601.8(2)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38">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39">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ABC Bank, and the economic development authority was notified of the transfer prior to July 1, 2014. Once a replacement tax credit certificate has been issued, ABC Bank cannot file an amended Iowa franchise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XYZ Bank and the economic development authority was notified of the transfer prior to July 1, 2014. Once a replacement tax credit certificate has been issued, XYZ Bank cannot file an amended Iowa franchise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40">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701—601.9</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41">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701—601.10</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w:t>
      </w:r>
      <w:r>
        <w:rPr>
          <w:rFonts w:ascii="Times New Roman" w:hAnsi="Times New Roman"/>
          <w:b w:val="false"/>
          <w:i w:val="false"/>
          <w:color w:val="000000"/>
          <w:sz w:val="22"/>
        </w:rPr>
        <w:t xml:space="preserve">For tax years beginning on or after January 1, 2001, a historic preservation and cultural and entertainment district tax credit, subject to the availability of the credit, may be claimed against a taxpayer’s Iowa franchise tax liability for 25 percent of the qualified rehabilitation costs to the extent the costs were incurred for the rehabilitation of eligible property in Iowa. For information related to projects with Part 2 applications approved and tax credits reserved prior to July 1, 2014, see rule </w:t>
      </w:r>
      <w:hyperlink r:id="rId43">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For information related to projects registered on or after July 1, 2014, and before August 15, 2016, see rule </w:t>
      </w:r>
      <w:hyperlink r:id="rId44">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 xml:space="preserve">(404A,422). For information related to projects registered on or after August 15, 2016, see rule </w:t>
      </w:r>
      <w:hyperlink r:id="rId45">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For projects registered before August 15, 2016, see also the administrative rules for the historic preservation and cultural and entertainment district tax credit for the historical division of the department of cultural affairs under </w:t>
      </w:r>
      <w:hyperlink r:id="rId4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For projects registered on or after August 15, 2016, see also the administrative rules for the historic preservation and cultural and entertainment district tax credit for the economic development authority under </w:t>
      </w:r>
      <w:hyperlink r:id="rId47">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9">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701—601.11</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community-based seed capital fund or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50">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community-based seed capital fund or an equity investment made on or after January 1, 2004, in a qualifying business, along with the issuance of tax credit certificates by the Iowa capital investment board, for equity investments made before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51">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The credit is equal to 20 percent of the taxpayer’s equity investment in a qualifying business or community-based seed capital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but these investments cannot be redeemed prior to January 1, 2016. For example, if a franchise taxpayer whose tax year ends on December 31, 2012, makes an equity investment during the 2012 calendar year, the franchise taxpayer cannot claim the tax credit until the tax year ending December 31, 2015.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 franchise taxpayer whose tax year ends on December 31, 2012,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and equity investments made on or after January 1, 2004, in a qualifying business,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52">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issuance. The department of revenue will be notified by the economic development authority when the tax credit certificates are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credit may be claimed. A taxpayer shall not claim a tax credit prior to September 1, 2016. The tax credit certificate must be included with the taxpayer’s return for the tax year in which the credit may be redeemed as stated on the tax credit certificate. For the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53">
        <w:r>
          <w:rPr>
            <w:rStyle w:val="Hyperlink"/>
            <w:rFonts w:ascii="Times New Roman" w:hAnsi="Times New Roman"/>
            <w:b w:val="false"/>
            <w:i w:val="false"/>
            <w:color w:val="000000"/>
            <w:sz w:val="22"/>
          </w:rPr>
          <w:t>701—paragraph 304.22(1)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Carryforward period. For a tax credit claimed against the taxes imposed in Iowa Code chapter </w:t>
      </w:r>
      <w:hyperlink r:id="rId54">
        <w:r>
          <w:rPr>
            <w:rStyle w:val="Hyperlink"/>
            <w:rFonts w:ascii="Times New Roman" w:hAnsi="Times New Roman"/>
            <w:b w:val="false"/>
            <w:i w:val="false"/>
            <w:color w:val="000000"/>
            <w:sz w:val="22"/>
          </w:rPr>
          <w:t>422, division V</w:t>
        </w:r>
      </w:hyperlink>
      <w:r>
        <w:rPr>
          <w:rFonts w:ascii="Times New Roman" w:hAnsi="Times New Roman"/>
          <w:b w:val="false"/>
          <w:i w:val="false"/>
          <w:color w:val="000000"/>
          <w:sz w:val="22"/>
        </w:rPr>
        <w:t>, any tax credit in excess of the taxpayer’s liability for the tax year may be credited to the tax liability for the following three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Refunds, transfers, and carryback prohibited. The tax credit cannot be carried back to a tax year prior to the tax year in which the taxpayer claims the tax credit. The tax credit is not refundable and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55">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56">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57">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not claim the tax credit prior to the third tax year following the tax year in which the investment is made. For example, if a franchise taxpayer whose tax year ends on December 31, 2012, makes an equity investment during the 2012 calendar year, the franchise taxpayer cannot claim the tax credit until the tax year ending December 31, 2015. For fiscal years beginning July 1, 2011, the amount of tax credits authorized cannot exceed $8 million.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third tax year following the tax year for which the credit is issued. For example, if a franchise taxpayer whose tax year ends on December 31, 2012, makes an equity investment in December 2012 and the $8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15E.42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section </w:t>
      </w:r>
      <w:hyperlink r:id="rId61">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701—601.12</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 section 4</w:t>
      </w:r>
      <w:r>
        <w:rPr>
          <w:rFonts w:ascii="Times New Roman" w:hAnsi="Times New Roman"/>
          <w:b w:val="false"/>
          <w:i w:val="false"/>
          <w:color w:val="000000"/>
          <w:sz w:val="22"/>
        </w:rPr>
        <w:t xml:space="preserve">. The new capital investment program was repealed on July 1, 2005, and has been replaced with the high quality job creation program. See rules </w:t>
      </w:r>
      <w:hyperlink r:id="rId62">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 xml:space="preserve">(15) and </w:t>
      </w:r>
      <w:hyperlink r:id="rId63">
        <w:r>
          <w:rPr>
            <w:rStyle w:val="Hyperlink"/>
            <w:rFonts w:ascii="Times New Roman" w:hAnsi="Times New Roman"/>
            <w:b w:val="false"/>
            <w:i w:val="false"/>
            <w:color w:val="000000"/>
            <w:sz w:val="22"/>
          </w:rPr>
          <w:t>701—601.17</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2003 Iowa Acts, House File 677, sections 1 to 7</w:t>
      </w:r>
      <w:r>
        <w:rPr>
          <w:rFonts w:ascii="Times New Roman" w:hAnsi="Times New Roman"/>
          <w:b w:val="false"/>
          <w:i w:val="false"/>
          <w:color w:val="000000"/>
          <w:sz w:val="22"/>
        </w:rPr>
        <w:t xml:space="preserve">, and Iowa Code section </w:t>
      </w:r>
      <w:hyperlink r:id="rId64">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House File 677, section 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701—601.13</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65">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66">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67">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68">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calendar year 2012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section </w:t>
      </w:r>
      <w:hyperlink r:id="rId7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701—601.14</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 xml:space="preserve">Effective for tax years ending on or after June 9, 2006, a wage-benefits tax credit, subject to the availability of the credit, equal to a percentage of the annual wages and benefits paid for a qualified new job created by the location or expansion of the business in Iowa is available for eligible financial institutions. For information on the eligibility for the wage-benefits tax credit, how to file applications for the wage-benefits tax credit, how the wage-benefits tax credit is computed, the repeal of the wage-benefits credit effective July 1, 2008, and other details about the credit, see rule </w:t>
      </w:r>
      <w:hyperlink r:id="rId71">
        <w:r>
          <w:rPr>
            <w:rStyle w:val="Hyperlink"/>
            <w:rFonts w:ascii="Times New Roman" w:hAnsi="Times New Roman"/>
            <w:b w:val="false"/>
            <w:i w:val="false"/>
            <w:color w:val="000000"/>
            <w:sz w:val="22"/>
          </w:rPr>
          <w:t>701—501.25</w:t>
        </w:r>
      </w:hyperlink>
      <w:r>
        <w:rPr>
          <w:rFonts w:ascii="Times New Roman" w:hAnsi="Times New Roman"/>
          <w:b w:val="false"/>
          <w:i w:val="false"/>
          <w:color w:val="000000"/>
          <w:sz w:val="22"/>
        </w:rPr>
        <w:t>(15I,422).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2">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167</w:t>
      </w:r>
      <w:r>
        <w:rPr>
          <w:rFonts w:ascii="Times New Roman" w:hAnsi="Times New Roman"/>
          <w:b w:val="false"/>
          <w:i w:val="false"/>
          <w:color w:val="000000"/>
          <w:sz w:val="22"/>
        </w:rPr>
        <w:t xml:space="preserve">, and Iowa Code Supplement section </w:t>
      </w:r>
      <w:hyperlink r:id="rId73">
        <w:r>
          <w:rPr>
            <w:rStyle w:val="Hyperlink"/>
            <w:rFonts w:ascii="Times New Roman" w:hAnsi="Times New Roman"/>
            <w:b w:val="false"/>
            <w:i w:val="false"/>
            <w:color w:val="000000"/>
            <w:sz w:val="22"/>
          </w:rPr>
          <w:t>422.60(10)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701—601.15</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owners of qualified wind energy production facilities approved by the Iowa utilities board may claim a wind energy production tax credit for qualified electricity sold by the owner against a taxpayer’s Iowa franchise tax liability. For information on the application and review process for the wind energy production tax credit, how the wind energy production tax credit is computed, how the wind energy production tax credit can be transferred and other details about the credit, see rule </w:t>
      </w:r>
      <w:hyperlink r:id="rId74">
        <w:r>
          <w:rPr>
            <w:rStyle w:val="Hyperlink"/>
            <w:rFonts w:ascii="Times New Roman" w:hAnsi="Times New Roman"/>
            <w:b w:val="false"/>
            <w:i w:val="false"/>
            <w:color w:val="000000"/>
            <w:sz w:val="22"/>
          </w:rPr>
          <w:t>701—501.26</w:t>
        </w:r>
      </w:hyperlink>
      <w:r>
        <w:rPr>
          <w:rFonts w:ascii="Times New Roman" w:hAnsi="Times New Roman"/>
          <w:b w:val="false"/>
          <w:i w:val="false"/>
          <w:color w:val="000000"/>
          <w:sz w:val="22"/>
        </w:rPr>
        <w:t xml:space="preserve">(422,476B). See also the administrative rules for the wind energy production tax credit for the Iowa utilities board in rules </w:t>
      </w:r>
      <w:hyperlink r:id="rId75">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 xml:space="preserve">(476B) and </w:t>
      </w:r>
      <w:hyperlink r:id="rId76">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chapter </w:t>
      </w:r>
      <w:hyperlink r:id="rId78">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701—601.16</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franchise tax liability. For information on the application and review process for the renewable energy tax credit, how the renewable energy tax credit is computed, how the renewable energy tax credit can be transferred and other details about the credit, see rule </w:t>
      </w:r>
      <w:hyperlink r:id="rId79">
        <w:r>
          <w:rPr>
            <w:rStyle w:val="Hyperlink"/>
            <w:rFonts w:ascii="Times New Roman" w:hAnsi="Times New Roman"/>
            <w:b w:val="false"/>
            <w:i w:val="false"/>
            <w:color w:val="000000"/>
            <w:sz w:val="22"/>
          </w:rPr>
          <w:t>701—501.27</w:t>
        </w:r>
      </w:hyperlink>
      <w:r>
        <w:rPr>
          <w:rFonts w:ascii="Times New Roman" w:hAnsi="Times New Roman"/>
          <w:b w:val="false"/>
          <w:i w:val="false"/>
          <w:color w:val="000000"/>
          <w:sz w:val="22"/>
        </w:rPr>
        <w:t xml:space="preserve">(422,476C). See also the administrative rules for the renewable energy tax credit for the Iowa utilities board in rules </w:t>
      </w:r>
      <w:hyperlink r:id="rId80">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 xml:space="preserve">(476C) and </w:t>
      </w:r>
      <w:hyperlink r:id="rId81">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chapter </w:t>
      </w:r>
      <w:hyperlink r:id="rId83">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701—601.17</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84">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85">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 xml:space="preserve">(15) for information on the investment tax credit under the high quality jobs program. Any investment tax credit earned by businesses approved under the high quality job creation program prior to July 1, 2009, remains valid, and can be claimed on tax returns filed after July 1, 2009. The administrative rules for the high quality jobs program for the Iowa department of economic development may be found at </w:t>
      </w:r>
      <w:hyperlink r:id="rId86">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information on what credits can be taken under this program, how the investment tax credit is computed and other details about this program, see rule </w:t>
      </w:r>
      <w:hyperlink r:id="rId87">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 xml:space="preserve">(15). However, the research credit described in subrule </w:t>
      </w:r>
      <w:hyperlink r:id="rId88">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is not available for franchise tax filers.</w:t>
      </w:r>
    </w:p>
    <w:p>
      <w:pPr>
        <w:spacing w:before="0" w:after="0"/>
        <w:ind w:left="120"/>
        <w:jc w:val="both"/>
      </w:pPr>
      <w:r>
        <w:rPr>
          <w:rFonts w:ascii="Times New Roman" w:hAnsi="Times New Roman"/>
          <w:b w:val="false"/>
          <w:i w:val="false"/>
          <w:color w:val="000000"/>
          <w:sz w:val="22"/>
        </w:rPr>
        <w:t xml:space="preserve">This rule is intended to implement Iowa Code Supplement chapter </w:t>
      </w:r>
      <w:hyperlink r:id="rId89">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701—601.18</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90">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701—601.19</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but beginning before January 1, 2012, a film qualified expenditure tax credit is available for franchise tax. The tax credit is equal to 25 percent of the taxpayer’s qualified expenditures in a film, television, or video project registered with the film office of the Iowa economic development authority (the authority). For information on the qualified expenditures eligible for the credit, how the film qualified expenditure tax credit is claimed, how the film qualified expenditure tax credit can be transferred and other details about the credit, see rule </w:t>
      </w:r>
      <w:hyperlink r:id="rId93">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 xml:space="preserve">(15,422). See also the authority’s administrative rules for the film qualified expenditure tax credit at </w:t>
      </w:r>
      <w:hyperlink r:id="rId94">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701—601.20</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but beginning before January 1, 2012, a film investment tax credit is available for franchise tax. The tax credit is equal to 25 percent of the taxpayer’s qualified expenditures in a film, television, or video project registered with the film office of the Iowa economic development authority (the authority). For information on how the film investment tax credit is claimed, how the film investment tax credit can be transferred and other details about the credit, see rule </w:t>
      </w:r>
      <w:hyperlink r:id="rId96">
        <w:r>
          <w:rPr>
            <w:rStyle w:val="Hyperlink"/>
            <w:rFonts w:ascii="Times New Roman" w:hAnsi="Times New Roman"/>
            <w:b w:val="false"/>
            <w:i w:val="false"/>
            <w:color w:val="000000"/>
            <w:sz w:val="22"/>
          </w:rPr>
          <w:t>701—501.35</w:t>
        </w:r>
      </w:hyperlink>
      <w:r>
        <w:rPr>
          <w:rFonts w:ascii="Times New Roman" w:hAnsi="Times New Roman"/>
          <w:b w:val="false"/>
          <w:i w:val="false"/>
          <w:color w:val="000000"/>
          <w:sz w:val="22"/>
        </w:rPr>
        <w:t xml:space="preserve">(15,422). See also the authority’s administrative rules for the film investment tax credit at </w:t>
      </w:r>
      <w:hyperlink r:id="rId97">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701—601.21</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99">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100">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information on the credits that may be taken under this program, how the investment tax credit is computed and other details about the program, see rule </w:t>
      </w:r>
      <w:hyperlink r:id="rId101">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 xml:space="preserve">(15).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research credit described in </w:t>
      </w:r>
      <w:hyperlink r:id="rId102">
        <w:r>
          <w:rPr>
            <w:rStyle w:val="Hyperlink"/>
            <w:rFonts w:ascii="Times New Roman" w:hAnsi="Times New Roman"/>
            <w:b w:val="false"/>
            <w:i w:val="false"/>
            <w:color w:val="000000"/>
            <w:sz w:val="22"/>
          </w:rPr>
          <w:t>701—subrule 501.40(1)</w:t>
        </w:r>
      </w:hyperlink>
      <w:r>
        <w:rPr>
          <w:rFonts w:ascii="Times New Roman" w:hAnsi="Times New Roman"/>
          <w:b w:val="false"/>
          <w:i w:val="false"/>
          <w:color w:val="000000"/>
          <w:sz w:val="22"/>
        </w:rPr>
        <w:t xml:space="preserve"> is not available for franchise tax filers.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701—601.22</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Effective for installations placed in service during tax years beginning on or after January 1, 2014, a solar energy system tax credit is available for business property described in </w:t>
      </w:r>
      <w:r>
        <w:rPr>
          <w:rFonts w:ascii="Times New Roman" w:hAnsi="Times New Roman"/>
          <w:b w:val="false"/>
          <w:i w:val="false"/>
          <w:color w:val="000000"/>
          <w:sz w:val="22"/>
        </w:rPr>
        <w:t>Sections 48(a)(2)(A)(i)(II) and 48(a)(2)(A)(i)(III) of the Internal Revenue Code</w:t>
      </w:r>
      <w:r>
        <w:rPr>
          <w:rFonts w:ascii="Times New Roman" w:hAnsi="Times New Roman"/>
          <w:b w:val="false"/>
          <w:i w:val="false"/>
          <w:color w:val="000000"/>
          <w:sz w:val="22"/>
        </w:rPr>
        <w:t xml:space="preserve"> and located in Iowa. The credit is available to financial institutions according to the same requirements, conditions, and limitations as described in rule </w:t>
      </w:r>
      <w:hyperlink r:id="rId104">
        <w:r>
          <w:rPr>
            <w:rStyle w:val="Hyperlink"/>
            <w:rFonts w:ascii="Times New Roman" w:hAnsi="Times New Roman"/>
            <w:b w:val="false"/>
            <w:i w:val="false"/>
            <w:color w:val="000000"/>
            <w:sz w:val="22"/>
          </w:rPr>
          <w:t>701—304.48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5">
        <w:r>
          <w:rPr>
            <w:rStyle w:val="Hyperlink"/>
            <w:rFonts w:ascii="Times New Roman" w:hAnsi="Times New Roman"/>
            <w:b w:val="false"/>
            <w:i w:val="false"/>
            <w:color w:val="000000"/>
            <w:sz w:val="22"/>
          </w:rPr>
          <w:t>422.60(12)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1666C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701—601.23</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franchise tax. For information on how the workforce housing tax incentives can be claimed, how the investment tax credit can be transferred and other details about the workforce housing tax incentives, see rule </w:t>
      </w:r>
      <w:hyperlink r:id="rId106">
        <w:r>
          <w:rPr>
            <w:rStyle w:val="Hyperlink"/>
            <w:rFonts w:ascii="Times New Roman" w:hAnsi="Times New Roman"/>
            <w:b w:val="false"/>
            <w:i w:val="false"/>
            <w:color w:val="000000"/>
            <w:sz w:val="22"/>
          </w:rPr>
          <w:t>701—501.46</w:t>
        </w:r>
      </w:hyperlink>
      <w:r>
        <w:rPr>
          <w:rFonts w:ascii="Times New Roman" w:hAnsi="Times New Roman"/>
          <w:b w:val="false"/>
          <w:i w:val="false"/>
          <w:color w:val="000000"/>
          <w:sz w:val="22"/>
        </w:rPr>
        <w:t xml:space="preserve">(15). The administrative rules for the workforce housing tax incentives program for the economic development authority may be found at </w:t>
      </w:r>
      <w:hyperlink r:id="rId107">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701—601.24</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 </w:t>
      </w:r>
      <w:hyperlink r:id="rId11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111">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Enterprise zone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112">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payments with vouchers, and composite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awarded under a different credit program in a later year that appears before it in the sequence in </w:t>
      </w:r>
      <w:hyperlink r:id="rId113">
        <w:r>
          <w:rPr>
            <w:rStyle w:val="Hyperlink"/>
            <w:rFonts w:ascii="Times New Roman" w:hAnsi="Times New Roman"/>
            <w:b w:val="false"/>
            <w:i w:val="false"/>
            <w:color w:val="000000"/>
            <w:sz w:val="22"/>
          </w:rPr>
          <w:t>subrule 601.24(1)</w:t>
        </w:r>
      </w:hyperlink>
      <w:r>
        <w:rPr>
          <w:rFonts w:ascii="Times New Roman" w:hAnsi="Times New Roman"/>
          <w:b w:val="false"/>
          <w:i w:val="false"/>
          <w:color w:val="000000"/>
          <w:sz w:val="22"/>
        </w:rPr>
        <w:t>. For example, an innovation fund investment tax credit awarded in the current tax year must be applied against computed tax before a renewable energy tax credit carried forward from a previous tax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701—601.25</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r>
        <w:rPr>
          <w:rFonts w:ascii="Times New Roman" w:hAnsi="Times New Roman"/>
          <w:b w:val="false"/>
          <w:i w:val="false"/>
          <w:color w:val="000000"/>
          <w:sz w:val="22"/>
        </w:rPr>
        <w:t xml:space="preserve">A Hoover presidential library tax credit is available according to the same requirements, conditions, and limitations as described in rule </w:t>
      </w:r>
      <w:hyperlink r:id="rId116">
        <w:r>
          <w:rPr>
            <w:rStyle w:val="Hyperlink"/>
            <w:rFonts w:ascii="Times New Roman" w:hAnsi="Times New Roman"/>
            <w:b w:val="false"/>
            <w:i w:val="false"/>
            <w:color w:val="000000"/>
            <w:sz w:val="22"/>
          </w:rPr>
          <w:t>701—304.57</w:t>
        </w:r>
      </w:hyperlink>
      <w:r>
        <w:rPr>
          <w:rFonts w:ascii="Times New Roman" w:hAnsi="Times New Roman"/>
          <w:b w:val="false"/>
          <w:i w:val="false"/>
          <w:color w:val="000000"/>
          <w:sz w:val="22"/>
        </w:rPr>
        <w:t xml:space="preserve">(15E,422) and </w:t>
      </w:r>
      <w:hyperlink r:id="rId117">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118">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(14)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701—601.26</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r>
        <w:rPr>
          <w:rFonts w:ascii="Times New Roman" w:hAnsi="Times New Roman"/>
          <w:b w:val="false"/>
          <w:i w:val="false"/>
          <w:color w:val="000000"/>
          <w:sz w:val="22"/>
        </w:rPr>
        <w:t xml:space="preserve">An employer child care tax credit is available according to the same requirements, conditions, and limitations as described in rule </w:t>
      </w:r>
      <w:hyperlink r:id="rId119">
        <w:r>
          <w:rPr>
            <w:rStyle w:val="Hyperlink"/>
            <w:rFonts w:ascii="Times New Roman" w:hAnsi="Times New Roman"/>
            <w:b w:val="false"/>
            <w:i w:val="false"/>
            <w:color w:val="000000"/>
            <w:sz w:val="22"/>
          </w:rPr>
          <w:t>701—304.58</w:t>
        </w:r>
      </w:hyperlink>
      <w:r>
        <w:rPr>
          <w:rFonts w:ascii="Times New Roman" w:hAnsi="Times New Roman"/>
          <w:b w:val="false"/>
          <w:i w:val="false"/>
          <w:color w:val="000000"/>
          <w:sz w:val="22"/>
        </w:rPr>
        <w:t xml:space="preserve">(237A) and </w:t>
      </w:r>
      <w:hyperlink r:id="rId120">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2/10/84, Notice 1/4/84—published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8/2/90, Notice 6/27/90—published 8/22/90, effective 9/26/90]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600.1.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ac/rule/701.301.2.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ac/rule/701.600.2.pdf" Type="http://schemas.openxmlformats.org/officeDocument/2006/relationships/hyperlink" Id="rId12"/>
    <Relationship TargetMode="External" Target="https://www.legis.iowa.gov/docs/iac/rule/701.603.3.pdf" Type="http://schemas.openxmlformats.org/officeDocument/2006/relationships/hyperlink" Id="rId13"/>
    <Relationship TargetMode="External" Target="https://www.legis.iowa.gov/docs/ico/chapter/422.pdf" Type="http://schemas.openxmlformats.org/officeDocument/2006/relationships/hyperlink" Id="rId14"/>
    <Relationship TargetMode="External" Target="https://www.legis.iowa.gov/docs/ico/chapter/422.pdf" Type="http://schemas.openxmlformats.org/officeDocument/2006/relationships/hyperlink" Id="rId15"/>
    <Relationship TargetMode="External" Target="https://www.legis.iowa.gov/docs/ico/chapter/422.pdf" Type="http://schemas.openxmlformats.org/officeDocument/2006/relationships/hyperlink" Id="rId16"/>
    <Relationship TargetMode="External" Target="https://www.legis.iowa.gov/docs/iac/chapter/701.604.pdf" Type="http://schemas.openxmlformats.org/officeDocument/2006/relationships/hyperlink" Id="rId17"/>
    <Relationship TargetMode="External" Target="https://www.legis.iowa.gov/docs/iac/rule/701.10.6.pdf" Type="http://schemas.openxmlformats.org/officeDocument/2006/relationships/hyperlink" Id="rId18"/>
    <Relationship TargetMode="External" Target="https://www.legis.iowa.gov/docs/iac/rule/701.10.7.pdf" Type="http://schemas.openxmlformats.org/officeDocument/2006/relationships/hyperlink" Id="rId19"/>
    <Relationship TargetMode="External" Target="https://www.legis.iowa.gov/docs/iac/rule/701.10.2.pdf" Type="http://schemas.openxmlformats.org/officeDocument/2006/relationships/hyperlink" Id="rId20"/>
    <Relationship TargetMode="External" Target="https://www.legis.iowa.gov/docs/ico/chapter/422.pdf" Type="http://schemas.openxmlformats.org/officeDocument/2006/relationships/hyperlink" Id="rId21"/>
    <Relationship TargetMode="External" Target="https://www.legis.iowa.gov/docs/ico/chapter/422.pdf" Type="http://schemas.openxmlformats.org/officeDocument/2006/relationships/hyperlink" Id="rId22"/>
    <Relationship TargetMode="External" Target="https://www.legis.iowa.gov/docs/ico/chapter/422.pdf" Type="http://schemas.openxmlformats.org/officeDocument/2006/relationships/hyperlink" Id="rId23"/>
    <Relationship TargetMode="External" Target="https://www.legis.iowa.gov/docs/ico/chapter/422.pdf" Type="http://schemas.openxmlformats.org/officeDocument/2006/relationships/hyperlink" Id="rId24"/>
    <Relationship TargetMode="External" Target="https://www.legis.iowa.gov/docs/iac/rule/701.602.2.pdf" Type="http://schemas.openxmlformats.org/officeDocument/2006/relationships/hyperlink" Id="rId25"/>
    <Relationship TargetMode="External" Target="https://www.legis.iowa.gov/docs/ico/chapter/422.pdf" Type="http://schemas.openxmlformats.org/officeDocument/2006/relationships/hyperlink" Id="rId26"/>
    <Relationship TargetMode="External" Target="https://www.legis.iowa.gov/docs/iac/rule/701.10.2.pdf" Type="http://schemas.openxmlformats.org/officeDocument/2006/relationships/hyperlink" Id="rId27"/>
    <Relationship TargetMode="External" Target="https://www.legis.iowa.gov/docs/ico/chapter/422.pdf" Type="http://schemas.openxmlformats.org/officeDocument/2006/relationships/hyperlink" Id="rId28"/>
    <Relationship TargetMode="External" Target="https://www.legis.iowa.gov/docs/iac/rule/701.601.7.pdf" Type="http://schemas.openxmlformats.org/officeDocument/2006/relationships/hyperlink" Id="rId29"/>
    <Relationship TargetMode="External" Target="https://www.legis.iowa.gov/docs/iac/rule/701.601.7.pdf" Type="http://schemas.openxmlformats.org/officeDocument/2006/relationships/hyperlink" Id="rId30"/>
    <Relationship TargetMode="External" Target="https://www.legis.iowa.gov/docs/ico/chapter/422.pdf" Type="http://schemas.openxmlformats.org/officeDocument/2006/relationships/hyperlink" Id="rId31"/>
    <Relationship TargetMode="External" Target="https://www.legis.iowa.gov/docs/iac/rule/701.601.22.pdf" Type="http://schemas.openxmlformats.org/officeDocument/2006/relationships/hyperlink" Id="rId32"/>
    <Relationship TargetMode="External" Target="https://www.legis.iowa.gov/docs/ico/chapter/15E.pdf" Type="http://schemas.openxmlformats.org/officeDocument/2006/relationships/hyperlink" Id="rId33"/>
    <Relationship TargetMode="External" Target="https://www.legis.iowa.gov/docs/ico/chapter/15E.pdf" Type="http://schemas.openxmlformats.org/officeDocument/2006/relationships/hyperlink" Id="rId34"/>
    <Relationship TargetMode="External" Target="https://www.legis.iowa.gov/docs/iac/rule/261.187.5.pdf" Type="http://schemas.openxmlformats.org/officeDocument/2006/relationships/hyperlink" Id="rId35"/>
    <Relationship TargetMode="External" Target="https://www.legis.iowa.gov/docs/iac/rule/701.601.8.pdf" Type="http://schemas.openxmlformats.org/officeDocument/2006/relationships/hyperlink" Id="rId36"/>
    <Relationship TargetMode="External" Target="https://www.legis.iowa.gov/docs/iac/chapter/261.59.pdf" Type="http://schemas.openxmlformats.org/officeDocument/2006/relationships/hyperlink" Id="rId37"/>
    <Relationship TargetMode="External" Target="https://www.legis.iowa.gov/docs/ico/chapter/15.pdf" Type="http://schemas.openxmlformats.org/officeDocument/2006/relationships/hyperlink" Id="rId38"/>
    <Relationship TargetMode="External" Target="https://www.legis.iowa.gov/docs/ico/chapter/403.pdf" Type="http://schemas.openxmlformats.org/officeDocument/2006/relationships/hyperlink" Id="rId39"/>
    <Relationship TargetMode="External" Target="https://www.legis.iowa.gov/docs/ico/chapter/15E.pdf" Type="http://schemas.openxmlformats.org/officeDocument/2006/relationships/hyperlink" Id="rId40"/>
    <Relationship TargetMode="External" Target="https://www.legis.iowa.gov/docs/ico/chapter/15E.pdf" Type="http://schemas.openxmlformats.org/officeDocument/2006/relationships/hyperlink" Id="rId41"/>
    <Relationship TargetMode="External" Target="https://www.legis.iowa.gov/docs/ico/chapter/15E.pdf" Type="http://schemas.openxmlformats.org/officeDocument/2006/relationships/hyperlink" Id="rId42"/>
    <Relationship TargetMode="External" Target="https://www.legis.iowa.gov/docs/iac/rule/701.501.18.pdf" Type="http://schemas.openxmlformats.org/officeDocument/2006/relationships/hyperlink" Id="rId43"/>
    <Relationship TargetMode="External" Target="https://www.legis.iowa.gov/docs/iac/rule/701.501.47.pdf" Type="http://schemas.openxmlformats.org/officeDocument/2006/relationships/hyperlink" Id="rId44"/>
    <Relationship TargetMode="External" Target="https://www.legis.iowa.gov/docs/iac/rule/701.501.48.pdf" Type="http://schemas.openxmlformats.org/officeDocument/2006/relationships/hyperlink" Id="rId45"/>
    <Relationship TargetMode="External" Target="https://www.legis.iowa.gov/docs/iac/chapter/223.48.pdf" Type="http://schemas.openxmlformats.org/officeDocument/2006/relationships/hyperlink" Id="rId46"/>
    <Relationship TargetMode="External" Target="https://www.legis.iowa.gov/docs/iac/chapter/261.49.pdf" Type="http://schemas.openxmlformats.org/officeDocument/2006/relationships/hyperlink" Id="rId47"/>
    <Relationship TargetMode="External" Target="https://www.legis.iowa.gov/docs/ico/chapter/404A.pdf" Type="http://schemas.openxmlformats.org/officeDocument/2006/relationships/hyperlink" Id="rId48"/>
    <Relationship TargetMode="External" Target="https://www.legis.iowa.gov/docs/ico/chapter/422.pdf" Type="http://schemas.openxmlformats.org/officeDocument/2006/relationships/hyperlink" Id="rId49"/>
    <Relationship TargetMode="External" Target="https://www.legis.iowa.gov/docs/iac/rule/123.2.1.pdf" Type="http://schemas.openxmlformats.org/officeDocument/2006/relationships/hyperlink" Id="rId50"/>
    <Relationship TargetMode="External" Target="https://www.legis.iowa.gov/docs/iac/chapter/261.115.pdf" Type="http://schemas.openxmlformats.org/officeDocument/2006/relationships/hyperlink" Id="rId51"/>
    <Relationship TargetMode="External" Target="https://www.legis.iowa.gov/docs/iac/chapter/261.115.pdf" Type="http://schemas.openxmlformats.org/officeDocument/2006/relationships/hyperlink" Id="rId52"/>
    <Relationship TargetMode="External" Target="https://www.legis.iowa.gov/docs/iac/rule/701.304.22.pdf" Type="http://schemas.openxmlformats.org/officeDocument/2006/relationships/hyperlink" Id="rId53"/>
    <Relationship TargetMode="External" Target="https://www.legis.iowa.gov/docs/ico/chapter/422.pdf" Type="http://schemas.openxmlformats.org/officeDocument/2006/relationships/hyperlink" Id="rId54"/>
    <Relationship TargetMode="External" Target="https://www.legis.iowa.gov/docs/iac/rule/123.3.1.pdf" Type="http://schemas.openxmlformats.org/officeDocument/2006/relationships/hyperlink" Id="rId55"/>
    <Relationship TargetMode="External" Target="https://www.legis.iowa.gov/docs/iac/rule/123.4.1.pdf" Type="http://schemas.openxmlformats.org/officeDocument/2006/relationships/hyperlink" Id="rId56"/>
    <Relationship TargetMode="External" Target="https://www.legis.iowa.gov/docs/iac/chapter/261.116.pdf" Type="http://schemas.openxmlformats.org/officeDocument/2006/relationships/hyperlink" Id="rId57"/>
    <Relationship TargetMode="External" Target="https://www.legis.iowa.gov/docs/ico/chapter/15E.pdf" Type="http://schemas.openxmlformats.org/officeDocument/2006/relationships/hyperlink" Id="rId58"/>
    <Relationship TargetMode="External" Target="https://www.legis.iowa.gov/docs/ico/chapter/15E.pdf" Type="http://schemas.openxmlformats.org/officeDocument/2006/relationships/hyperlink" Id="rId59"/>
    <Relationship TargetMode="External" Target="https://www.legis.iowa.gov/docs/ico/chapter/422.pdf" Type="http://schemas.openxmlformats.org/officeDocument/2006/relationships/hyperlink" Id="rId60"/>
    <Relationship TargetMode="External" Target="https://www.legis.iowa.gov/docs/ico/chapter/15E.pdf" Type="http://schemas.openxmlformats.org/officeDocument/2006/relationships/hyperlink" Id="rId61"/>
    <Relationship TargetMode="External" Target="https://www.legis.iowa.gov/docs/iac/rule/701.501.28.pdf" Type="http://schemas.openxmlformats.org/officeDocument/2006/relationships/hyperlink" Id="rId62"/>
    <Relationship TargetMode="External" Target="https://www.legis.iowa.gov/docs/iac/rule/701.601.17.pdf" Type="http://schemas.openxmlformats.org/officeDocument/2006/relationships/hyperlink" Id="rId63"/>
    <Relationship TargetMode="External" Target="https://www.legis.iowa.gov/docs/ico/chapter/15.pdf" Type="http://schemas.openxmlformats.org/officeDocument/2006/relationships/hyperlink" Id="rId64"/>
    <Relationship TargetMode="External" Target="https://www.legis.iowa.gov/docs/iac/chapter/261.47.pdf" Type="http://schemas.openxmlformats.org/officeDocument/2006/relationships/hyperlink" Id="rId65"/>
    <Relationship TargetMode="External" Target="https://www.legis.iowa.gov/docs/ico/chapter/99F.pdf" Type="http://schemas.openxmlformats.org/officeDocument/2006/relationships/hyperlink" Id="rId66"/>
    <Relationship TargetMode="External" Target="https://www.legis.iowa.gov/docs/ico/chapter/99F.pdf" Type="http://schemas.openxmlformats.org/officeDocument/2006/relationships/hyperlink" Id="rId67"/>
    <Relationship TargetMode="External" Target="https://www.legis.iowa.gov/docs/ico/chapter/99F.pdf" Type="http://schemas.openxmlformats.org/officeDocument/2006/relationships/hyperlink" Id="rId68"/>
    <Relationship TargetMode="External" Target="https://www.legis.iowa.gov/docs/ico/chapter/15E.pdf" Type="http://schemas.openxmlformats.org/officeDocument/2006/relationships/hyperlink" Id="rId69"/>
    <Relationship TargetMode="External" Target="https://www.legis.iowa.gov/docs/ico/chapter/422.pdf" Type="http://schemas.openxmlformats.org/officeDocument/2006/relationships/hyperlink" Id="rId70"/>
    <Relationship TargetMode="External" Target="https://www.legis.iowa.gov/docs/iac/rule/701.501.25.pdf" Type="http://schemas.openxmlformats.org/officeDocument/2006/relationships/hyperlink" Id="rId71"/>
    <Relationship TargetMode="External" Target="https://www.legis.iowa.gov/docs/ico/chapter/15I.pdf" Type="http://schemas.openxmlformats.org/officeDocument/2006/relationships/hyperlink" Id="rId72"/>
    <Relationship TargetMode="External" Target="https://www.legis.iowa.gov/docs/ico/chapter/422.pdf" Type="http://schemas.openxmlformats.org/officeDocument/2006/relationships/hyperlink" Id="rId73"/>
    <Relationship TargetMode="External" Target="https://www.legis.iowa.gov/docs/iac/rule/701.501.26.pdf" Type="http://schemas.openxmlformats.org/officeDocument/2006/relationships/hyperlink" Id="rId74"/>
    <Relationship TargetMode="External" Target="https://www.legis.iowa.gov/docs/iac/rule/199.15.18.pdf" Type="http://schemas.openxmlformats.org/officeDocument/2006/relationships/hyperlink" Id="rId75"/>
    <Relationship TargetMode="External" Target="https://www.legis.iowa.gov/docs/iac/rule/199.15.20.pdf" Type="http://schemas.openxmlformats.org/officeDocument/2006/relationships/hyperlink" Id="rId76"/>
    <Relationship TargetMode="External" Target="https://www.legis.iowa.gov/docs/ico/chapter/422.pdf" Type="http://schemas.openxmlformats.org/officeDocument/2006/relationships/hyperlink" Id="rId77"/>
    <Relationship TargetMode="External" Target="https://www.legis.iowa.gov/docs/ico/chapter/476B.pdf" Type="http://schemas.openxmlformats.org/officeDocument/2006/relationships/hyperlink" Id="rId78"/>
    <Relationship TargetMode="External" Target="https://www.legis.iowa.gov/docs/iac/rule/701.501.27.pdf" Type="http://schemas.openxmlformats.org/officeDocument/2006/relationships/hyperlink" Id="rId79"/>
    <Relationship TargetMode="External" Target="https://www.legis.iowa.gov/docs/iac/rule/199.15.19.pdf" Type="http://schemas.openxmlformats.org/officeDocument/2006/relationships/hyperlink" Id="rId80"/>
    <Relationship TargetMode="External" Target="https://www.legis.iowa.gov/docs/iac/rule/199.15.21.pdf" Type="http://schemas.openxmlformats.org/officeDocument/2006/relationships/hyperlink" Id="rId81"/>
    <Relationship TargetMode="External" Target="https://www.legis.iowa.gov/docs/ico/chapter/422.pdf" Type="http://schemas.openxmlformats.org/officeDocument/2006/relationships/hyperlink" Id="rId82"/>
    <Relationship TargetMode="External" Target="https://www.legis.iowa.gov/docs/ico/chapter/476C.pdf" Type="http://schemas.openxmlformats.org/officeDocument/2006/relationships/hyperlink" Id="rId83"/>
    <Relationship TargetMode="External" Target="https://www.legis.iowa.gov/docs/ico/chapter/15.pdf" Type="http://schemas.openxmlformats.org/officeDocument/2006/relationships/hyperlink" Id="rId84"/>
    <Relationship TargetMode="External" Target="https://www.legis.iowa.gov/docs/iac/rule/701.501.40.pdf" Type="http://schemas.openxmlformats.org/officeDocument/2006/relationships/hyperlink" Id="rId85"/>
    <Relationship TargetMode="External" Target="https://www.legis.iowa.gov/docs/iac/chapter/261.68.pdf" Type="http://schemas.openxmlformats.org/officeDocument/2006/relationships/hyperlink" Id="rId86"/>
    <Relationship TargetMode="External" Target="https://www.legis.iowa.gov/docs/iac/rule/701.501.28.pdf" Type="http://schemas.openxmlformats.org/officeDocument/2006/relationships/hyperlink" Id="rId87"/>
    <Relationship TargetMode="External" Target="https://www.legis.iowa.gov/docs/iac/rule/701.501.28.pdf" Type="http://schemas.openxmlformats.org/officeDocument/2006/relationships/hyperlink" Id="rId88"/>
    <Relationship TargetMode="External" Target="https://www.legis.iowa.gov/docs/ico/chapter/15.pdf" Type="http://schemas.openxmlformats.org/officeDocument/2006/relationships/hyperlink" Id="rId89"/>
    <Relationship TargetMode="External" Target="https://www.legis.iowa.gov/docs/iac/chapter/261.32.pdf" Type="http://schemas.openxmlformats.org/officeDocument/2006/relationships/hyperlink" Id="rId90"/>
    <Relationship TargetMode="External" Target="https://www.legis.iowa.gov/docs/ico/chapter/15E.pdf" Type="http://schemas.openxmlformats.org/officeDocument/2006/relationships/hyperlink" Id="rId91"/>
    <Relationship TargetMode="External" Target="https://www.legis.iowa.gov/docs/ico/chapter/422.pdf" Type="http://schemas.openxmlformats.org/officeDocument/2006/relationships/hyperlink" Id="rId92"/>
    <Relationship TargetMode="External" Target="https://www.legis.iowa.gov/docs/iac/rule/701.501.34.pdf" Type="http://schemas.openxmlformats.org/officeDocument/2006/relationships/hyperlink" Id="rId93"/>
    <Relationship TargetMode="External" Target="https://www.legis.iowa.gov/docs/iac/chapter/261.36.pdf" Type="http://schemas.openxmlformats.org/officeDocument/2006/relationships/hyperlink" Id="rId94"/>
    <Relationship TargetMode="External" Target="https://www.legis.iowa.gov/docs/ico/chapter/422.pdf" Type="http://schemas.openxmlformats.org/officeDocument/2006/relationships/hyperlink" Id="rId95"/>
    <Relationship TargetMode="External" Target="https://www.legis.iowa.gov/docs/iac/rule/701.501.35.pdf" Type="http://schemas.openxmlformats.org/officeDocument/2006/relationships/hyperlink" Id="rId96"/>
    <Relationship TargetMode="External" Target="https://www.legis.iowa.gov/docs/iac/chapter/261.36.pdf" Type="http://schemas.openxmlformats.org/officeDocument/2006/relationships/hyperlink" Id="rId97"/>
    <Relationship TargetMode="External" Target="https://www.legis.iowa.gov/docs/ico/chapter/422.pdf" Type="http://schemas.openxmlformats.org/officeDocument/2006/relationships/hyperlink" Id="rId98"/>
    <Relationship TargetMode="External" Target="https://www.legis.iowa.gov/docs/ico/chapter/15.pdf" Type="http://schemas.openxmlformats.org/officeDocument/2006/relationships/hyperlink" Id="rId99"/>
    <Relationship TargetMode="External" Target="https://www.legis.iowa.gov/docs/iac/chapter/261.68.pdf" Type="http://schemas.openxmlformats.org/officeDocument/2006/relationships/hyperlink" Id="rId100"/>
    <Relationship TargetMode="External" Target="https://www.legis.iowa.gov/docs/iac/rule/701.501.40.pdf" Type="http://schemas.openxmlformats.org/officeDocument/2006/relationships/hyperlink" Id="rId101"/>
    <Relationship TargetMode="External" Target="https://www.legis.iowa.gov/docs/iac/rule/701.501.40.pdf" Type="http://schemas.openxmlformats.org/officeDocument/2006/relationships/hyperlink" Id="rId102"/>
    <Relationship TargetMode="External" Target="https://www.legis.iowa.gov/docs/ico/chapter/15.pdf" Type="http://schemas.openxmlformats.org/officeDocument/2006/relationships/hyperlink" Id="rId103"/>
    <Relationship TargetMode="External" Target="https://www.legis.iowa.gov/docs/iac/rule/701.304.48.pdf" Type="http://schemas.openxmlformats.org/officeDocument/2006/relationships/hyperlink" Id="rId104"/>
    <Relationship TargetMode="External" Target="https://www.legis.iowa.gov/docs/iac/rule/701.422.60.pdf" Type="http://schemas.openxmlformats.org/officeDocument/2006/relationships/hyperlink" Id="rId105"/>
    <Relationship TargetMode="External" Target="https://www.legis.iowa.gov/docs/iac/rule/701.501.46.pdf" Type="http://schemas.openxmlformats.org/officeDocument/2006/relationships/hyperlink" Id="rId106"/>
    <Relationship TargetMode="External" Target="https://www.legis.iowa.gov/docs/iac/chapter/261.48.pdf" Type="http://schemas.openxmlformats.org/officeDocument/2006/relationships/hyperlink" Id="rId107"/>
    <Relationship TargetMode="External" Target="https://www.legis.iowa.gov/docs/ico/chapter/15.pdf" Type="http://schemas.openxmlformats.org/officeDocument/2006/relationships/hyperlink" Id="rId108"/>
    <Relationship TargetMode="External" Target="https://www.legis.iowa.gov/docs/ico/chapter/15.pdf" Type="http://schemas.openxmlformats.org/officeDocument/2006/relationships/hyperlink" Id="rId109"/>
    <Relationship TargetMode="External" Target="https://www.legis.iowa.gov/docs/ico/chapter/422.pdf" Type="http://schemas.openxmlformats.org/officeDocument/2006/relationships/hyperlink" Id="rId110"/>
    <Relationship TargetMode="External" Target="https://www.legis.iowa.gov/docs/ico/chapter/404A.pdf" Type="http://schemas.openxmlformats.org/officeDocument/2006/relationships/hyperlink" Id="rId111"/>
    <Relationship TargetMode="External" Target="https://www.legis.iowa.gov/docs/ico/chapter/404A.pdf" Type="http://schemas.openxmlformats.org/officeDocument/2006/relationships/hyperlink" Id="rId112"/>
    <Relationship TargetMode="External" Target="https://www.legis.iowa.gov/docs/iac/rule/701.601.24.pdf" Type="http://schemas.openxmlformats.org/officeDocument/2006/relationships/hyperlink" Id="rId113"/>
    <Relationship TargetMode="External" Target="https://www.legis.iowa.gov/docs/ico/chapter/422.pdf" Type="http://schemas.openxmlformats.org/officeDocument/2006/relationships/hyperlink" Id="rId114"/>
    <Relationship TargetMode="External" Target="https://www.legis.iowa.gov/docs/ico/chapter/422.pdf" Type="http://schemas.openxmlformats.org/officeDocument/2006/relationships/hyperlink" Id="rId115"/>
    <Relationship TargetMode="External" Target="https://www.legis.iowa.gov/docs/iac/rule/701.304.57.pdf" Type="http://schemas.openxmlformats.org/officeDocument/2006/relationships/hyperlink" Id="rId116"/>
    <Relationship TargetMode="External" Target="https://www.legis.iowa.gov/docs/iac/chapter/261.43.pdf" Type="http://schemas.openxmlformats.org/officeDocument/2006/relationships/hyperlink" Id="rId117"/>
    <Relationship TargetMode="External" Target="https://www.legis.iowa.gov/docs/ico/chapter/422.pdf" Type="http://schemas.openxmlformats.org/officeDocument/2006/relationships/hyperlink" Id="rId118"/>
    <Relationship TargetMode="External" Target="https://www.legis.iowa.gov/docs/iac/rule/701.304.58.pdf" Type="http://schemas.openxmlformats.org/officeDocument/2006/relationships/hyperlink" Id="rId119"/>
    <Relationship TargetMode="External" Target="https://www.legis.iowa.gov/docs/iac/chapter/261.57.pdf" Type="http://schemas.openxmlformats.org/officeDocument/2006/relationships/hyperlink" Id="rId120"/>
    <Relationship TargetMode="External" Target="https://www.legis.iowa.gov/docs/ico/chapter/237A.pdf" Type="http://schemas.openxmlformats.org/officeDocument/2006/relationships/hyperlink"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