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274</w:t>
      </w:r>
    </w:p>
    <w:p>
      <w:pPr>
        <w:spacing w:before="0" w:after="0"/>
        <w:ind w:left="120"/>
        <w:jc w:val="center"/>
      </w:pPr>
      <w:r>
        <w:rPr>
          <w:rFonts w:ascii="Times New Roman" w:hAnsi="Times New Roman"/>
          <w:b w:val="false"/>
          <w:i w:val="false"/>
          <w:color w:val="000000"/>
          <w:sz w:val="21"/>
        </w:rPr>
        <w:t>LOCAL OPTION SALES TAX URBAN RENEWAL PROJECTS</w:t>
      </w:r>
    </w:p>
    <w:p>
      <w:pPr>
        <w:spacing w:before="0" w:after="0"/>
        <w:ind w:left="120"/>
        <w:jc w:val="center"/>
      </w:pPr>
      <w:r>
        <w:rPr>
          <w:rFonts w:ascii="Times New Roman" w:hAnsi="Times New Roman"/>
          <w:b w:val="false"/>
          <w:i w:val="false"/>
          <w:color w:val="000000"/>
          <w:sz w:val="14"/>
        </w:rPr>
        <w:t>[Prior to 9/7/22, see Revenue Department[701] Ch 239]</w:t>
      </w:r>
    </w:p>
    <w:p>
      <w:pPr>
        <w:spacing w:before="0" w:after="0"/>
        <w:ind w:left="120"/>
        <w:jc w:val="both"/>
      </w:pPr>
      <w:r>
        <w:rPr>
          <w:rFonts w:ascii="Times New Roman" w:hAnsi="Times New Roman"/>
          <w:b/>
          <w:i w:val="false"/>
          <w:color w:val="000000"/>
          <w:sz w:val="22"/>
        </w:rPr>
        <w:t>701—274.1</w:t>
      </w:r>
      <w:r>
        <w:rPr>
          <w:rFonts w:ascii="Times New Roman" w:hAnsi="Times New Roman"/>
          <w:b/>
          <w:i w:val="false"/>
          <w:color w:val="000000"/>
          <w:sz w:val="22"/>
        </w:rPr>
        <w:t xml:space="preserve">(423B) </w:t>
      </w:r>
      <w:r>
        <w:rPr>
          <w:rFonts w:ascii="Times New Roman" w:hAnsi="Times New Roman"/>
          <w:b/>
          <w:i w:val="false"/>
          <w:color w:val="000000"/>
          <w:sz w:val="22"/>
        </w:rPr>
        <w:t xml:space="preserve">Purpose and definitions. </w:t>
      </w:r>
      <w:r>
        <w:rPr>
          <w:rFonts w:ascii="Times New Roman" w:hAnsi="Times New Roman"/>
          <w:b w:val="false"/>
          <w:i w:val="false"/>
          <w:color w:val="000000"/>
          <w:sz w:val="22"/>
        </w:rPr>
        <w:t xml:space="preserve">This chapter sets forth the department of revenue’s rules on administration of the calculation, collection, and distribution of funds to be deposited for use to fund urban renewal projects as described in Iowa Code chapter </w:t>
      </w:r>
      <w:hyperlink r:id="rId4">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For purposes of this chapter, “local sales and service tax” means the local tax imposed by a jurisdiction pursuant to an election authorized by Iowa Code section </w:t>
      </w:r>
      <w:hyperlink r:id="rId5">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and described in Iowa Code section </w:t>
      </w:r>
      <w:hyperlink r:id="rId6">
        <w:r>
          <w:rPr>
            <w:rStyle w:val="Hyperlink"/>
            <w:rFonts w:ascii="Times New Roman" w:hAnsi="Times New Roman"/>
            <w:b w:val="false"/>
            <w:i w:val="false"/>
            <w:color w:val="000000"/>
            <w:sz w:val="22"/>
          </w:rPr>
          <w:t>423B.5</w:t>
        </w:r>
      </w:hyperlink>
      <w:r>
        <w:rPr>
          <w:rFonts w:ascii="Times New Roman" w:hAnsi="Times New Roman"/>
          <w:b w:val="false"/>
          <w:i w:val="false"/>
          <w:color w:val="000000"/>
          <w:sz w:val="22"/>
        </w:rPr>
        <w:t xml:space="preserve">. All other terms have the same meaning as defined in Iowa Code sections </w:t>
      </w:r>
      <w:hyperlink r:id="rId7">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701—274.2</w:t>
      </w:r>
      <w:r>
        <w:rPr>
          <w:rFonts w:ascii="Times New Roman" w:hAnsi="Times New Roman"/>
          <w:b/>
          <w:i w:val="false"/>
          <w:color w:val="000000"/>
          <w:sz w:val="22"/>
        </w:rPr>
        <w:t xml:space="preserve">(423B) </w:t>
      </w:r>
      <w:r>
        <w:rPr>
          <w:rFonts w:ascii="Times New Roman" w:hAnsi="Times New Roman"/>
          <w:b/>
          <w:i w:val="false"/>
          <w:color w:val="000000"/>
          <w:sz w:val="22"/>
        </w:rPr>
        <w:t xml:space="preserve">Establishing sales and revenue growth. </w:t>
      </w:r>
      <w:r>
        <w:rPr>
          <w:rFonts w:ascii="Times New Roman" w:hAnsi="Times New Roman"/>
          <w:b w:val="false"/>
          <w:i w:val="false"/>
          <w:color w:val="000000"/>
          <w:sz w:val="22"/>
        </w:rPr>
        <w:t xml:space="preserve">For purposes of establishing the sales amount in the base year and the revenue growth in subsequent fiscal years, the department will calculate sales as described in Iowa Code section </w:t>
      </w:r>
      <w:hyperlink r:id="rId9">
        <w:r>
          <w:rPr>
            <w:rStyle w:val="Hyperlink"/>
            <w:rFonts w:ascii="Times New Roman" w:hAnsi="Times New Roman"/>
            <w:b w:val="false"/>
            <w:i w:val="false"/>
            <w:color w:val="000000"/>
            <w:sz w:val="22"/>
          </w:rPr>
          <w:t>423B.10(3)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701—274.3</w:t>
      </w:r>
      <w:r>
        <w:rPr>
          <w:rFonts w:ascii="Times New Roman" w:hAnsi="Times New Roman"/>
          <w:b/>
          <w:i w:val="false"/>
          <w:color w:val="000000"/>
          <w:sz w:val="22"/>
        </w:rPr>
        <w:t xml:space="preserve">(423B) </w:t>
      </w:r>
      <w:r>
        <w:rPr>
          <w:rFonts w:ascii="Times New Roman" w:hAnsi="Times New Roman"/>
          <w:b/>
          <w:i w:val="false"/>
          <w:color w:val="000000"/>
          <w:sz w:val="22"/>
        </w:rPr>
        <w:t xml:space="preserve">Requirements for cities adopting an ordinance. </w:t>
      </w:r>
    </w:p>
    <w:p>
      <w:pPr>
        <w:spacing w:before="0" w:after="0"/>
        <w:ind w:left="120"/>
        <w:jc w:val="both"/>
      </w:pPr>
      <w:r>
        <w:rPr>
          <w:rFonts w:ascii="Times New Roman" w:hAnsi="Times New Roman"/>
          <w:b/>
          <w:i w:val="false"/>
          <w:color w:val="000000"/>
          <w:sz w:val="22"/>
        </w:rPr>
        <w:t>274.3(1)</w:t>
      </w:r>
      <w:r>
        <w:rPr>
          <w:rFonts w:ascii="Times New Roman" w:hAnsi="Times New Roman"/>
          <w:b w:val="false"/>
          <w:i w:val="false"/>
          <w:color w:val="000000"/>
          <w:sz w:val="22"/>
        </w:rPr>
        <w:t> </w:t>
      </w:r>
      <w:r>
        <w:rPr>
          <w:rFonts w:ascii="Times New Roman" w:hAnsi="Times New Roman"/>
          <w:b w:val="false"/>
          <w:i w:val="false"/>
          <w:color w:val="000000"/>
          <w:sz w:val="22"/>
        </w:rPr>
        <w:t>Within at least 90 days following the adoption of an ordinance, an eligible city must notify the director of the department of revenue of its intent to pursue funding for an urban renewal project based upon the increase in local sales and services tax revenue. The notification must include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resolution of the board of supervisors from each county in the urban renewal area from which local sales and services tax revenues are to be collected approving the collection and use of local sales and services tax;</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urban renewal plan and the resolution adopting the city’s urban renewal plan;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copy of the adopted ordinance, including: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current and original, if applicable, purpose or purposes for which the local option sales and services tax was enacted;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amount and proportion of revenue that will be redistributed from each current revenue purpose to fund urban renewal within the urban renewal area;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legal description of the urban renewal area covered by the ordinance;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map showing the geographic boundaries of the urban renewal area; and</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geographic information system boundary file, if available, showing the geographic boundaries of the urban renewal area.</w:t>
      </w:r>
    </w:p>
    <w:p>
      <w:pPr>
        <w:spacing w:before="0" w:after="0"/>
        <w:ind w:left="120"/>
        <w:jc w:val="both"/>
      </w:pPr>
      <w:r>
        <w:rPr>
          <w:rFonts w:ascii="Times New Roman" w:hAnsi="Times New Roman"/>
          <w:b/>
          <w:i w:val="false"/>
          <w:color w:val="000000"/>
          <w:sz w:val="22"/>
        </w:rPr>
        <w:t>274.3(2)</w:t>
      </w:r>
      <w:r>
        <w:rPr>
          <w:rFonts w:ascii="Times New Roman" w:hAnsi="Times New Roman"/>
          <w:b w:val="false"/>
          <w:i w:val="false"/>
          <w:color w:val="000000"/>
          <w:sz w:val="22"/>
        </w:rPr>
        <w:t> </w:t>
      </w:r>
      <w:r>
        <w:rPr>
          <w:rFonts w:ascii="Times New Roman" w:hAnsi="Times New Roman"/>
          <w:b w:val="false"/>
          <w:i w:val="false"/>
          <w:color w:val="000000"/>
          <w:sz w:val="22"/>
        </w:rPr>
        <w:t>Each urban renewal area must have its own separate ordinance, and the department shall be notified separately for each urban renewal area. Notification shall be mailed or otherwise submitted to: Director, Iowa Department of Revenue, Hoover State Office Building, 1305 E. Walnut Street, Des Moines, Iowa 50319.</w:t>
      </w:r>
    </w:p>
    <w:p>
      <w:pPr>
        <w:spacing w:before="0" w:after="0"/>
        <w:ind w:left="120"/>
        <w:jc w:val="both"/>
      </w:pPr>
      <w:r>
        <w:rPr>
          <w:rFonts w:ascii="Times New Roman" w:hAnsi="Times New Roman"/>
          <w:b/>
          <w:i w:val="false"/>
          <w:color w:val="000000"/>
          <w:sz w:val="22"/>
        </w:rPr>
        <w:t>274.3(3)</w:t>
      </w:r>
      <w:r>
        <w:rPr>
          <w:rFonts w:ascii="Times New Roman" w:hAnsi="Times New Roman"/>
          <w:b w:val="false"/>
          <w:i w:val="false"/>
          <w:color w:val="000000"/>
          <w:sz w:val="22"/>
        </w:rPr>
        <w:t> </w:t>
      </w:r>
      <w:r>
        <w:rPr>
          <w:rFonts w:ascii="Times New Roman" w:hAnsi="Times New Roman"/>
          <w:b w:val="false"/>
          <w:i w:val="false"/>
          <w:color w:val="000000"/>
          <w:sz w:val="22"/>
        </w:rPr>
        <w:t>Each urban renewal area must have its own separate resolution of the board of supervisors from each county from which local option sales and services tax revenues will be collected and used for urban renewal projects located within the urban renewal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701—274.4</w:t>
      </w:r>
      <w:r>
        <w:rPr>
          <w:rFonts w:ascii="Times New Roman" w:hAnsi="Times New Roman"/>
          <w:b/>
          <w:i w:val="false"/>
          <w:color w:val="000000"/>
          <w:sz w:val="22"/>
        </w:rPr>
        <w:t xml:space="preserve">(423B) </w:t>
      </w:r>
      <w:r>
        <w:rPr>
          <w:rFonts w:ascii="Times New Roman" w:hAnsi="Times New Roman"/>
          <w:b/>
          <w:i w:val="false"/>
          <w:color w:val="000000"/>
          <w:sz w:val="22"/>
        </w:rPr>
        <w:t xml:space="preserve">Identification of retail establishments. </w:t>
      </w:r>
      <w:r>
        <w:rPr>
          <w:rFonts w:ascii="Times New Roman" w:hAnsi="Times New Roman"/>
          <w:b w:val="false"/>
          <w:i w:val="false"/>
          <w:color w:val="000000"/>
          <w:sz w:val="22"/>
        </w:rPr>
        <w:t>The eligible city shall assist the department of revenue in identifying retail establishments in the urban renewal area that are collecting the local sales and services tax. The department of revenue will identify sales tax permit holders within the urban renewal area using the geographic information system boundary file, if available, provided to the department. If no boundary file is provided, the department will rely upon the map submitted by the eligible city. If any of the urban renewal area boundaries submitted are street centerlines, the information provided to the department shall indicate whether only retail establishments within the bounded area should be considered part of the urban renewal area, or if in addition to the retail establishments within the bounded area, retail establishments immediately adjacent to the bounded area should also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701—274.5</w:t>
      </w:r>
      <w:r>
        <w:rPr>
          <w:rFonts w:ascii="Times New Roman" w:hAnsi="Times New Roman"/>
          <w:b/>
          <w:i w:val="false"/>
          <w:color w:val="000000"/>
          <w:sz w:val="22"/>
        </w:rPr>
        <w:t xml:space="preserve">(423B) </w:t>
      </w:r>
      <w:r>
        <w:rPr>
          <w:rFonts w:ascii="Times New Roman" w:hAnsi="Times New Roman"/>
          <w:b/>
          <w:i w:val="false"/>
          <w:color w:val="000000"/>
          <w:sz w:val="22"/>
        </w:rPr>
        <w:t xml:space="preserve">Calculation of base year taxable sales amount. </w:t>
      </w:r>
      <w:r>
        <w:rPr>
          <w:rFonts w:ascii="Times New Roman" w:hAnsi="Times New Roman"/>
          <w:b w:val="false"/>
          <w:i w:val="false"/>
          <w:color w:val="000000"/>
          <w:sz w:val="22"/>
        </w:rPr>
        <w:t>The calculation of the base year taxable sales amount is as follows:</w:t>
      </w:r>
    </w:p>
    <w:p>
      <w:pPr>
        <w:spacing w:before="0" w:after="0"/>
        <w:ind w:left="120"/>
        <w:jc w:val="both"/>
      </w:pPr>
      <w:r>
        <w:rPr>
          <w:rFonts w:ascii="Times New Roman" w:hAnsi="Times New Roman"/>
          <w:b/>
          <w:i w:val="false"/>
          <w:color w:val="000000"/>
          <w:sz w:val="22"/>
        </w:rPr>
        <w:t>274.5(1)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base year taxable sales and services amount will be the total taxable sales and services subject to the local sales and services tax that are made by retail establishments within the urban renewal area during the base year. </w:t>
      </w:r>
    </w:p>
    <w:p>
      <w:pPr>
        <w:spacing w:before="0" w:after="0"/>
        <w:ind w:left="120"/>
        <w:jc w:val="both"/>
      </w:pPr>
      <w:r>
        <w:rPr>
          <w:rFonts w:ascii="Times New Roman" w:hAnsi="Times New Roman"/>
          <w:b/>
          <w:i w:val="false"/>
          <w:color w:val="000000"/>
          <w:sz w:val="22"/>
        </w:rPr>
        <w:t>274.5(2)</w:t>
      </w:r>
      <w:r>
        <w:rPr>
          <w:rFonts w:ascii="Times New Roman" w:hAnsi="Times New Roman"/>
          <w:b w:val="false"/>
          <w:i w:val="false"/>
          <w:color w:val="000000"/>
          <w:sz w:val="22"/>
        </w:rPr>
        <w:t> </w:t>
      </w:r>
      <w:r>
        <w:rPr>
          <w:rFonts w:ascii="Times New Roman" w:hAnsi="Times New Roman"/>
          <w:b w:val="false"/>
          <w:i w:val="false"/>
          <w:color w:val="000000"/>
          <w:sz w:val="22"/>
        </w:rPr>
        <w:t xml:space="preserve">Taxable sales of tangible personal property and services that are subject to the local sales and services tax that are made by retail establishments or service providers located within the urban renewal area include only those sales that are sourced to the county in which the urban renewal area is located. </w:t>
      </w:r>
    </w:p>
    <w:p>
      <w:pPr>
        <w:spacing w:before="0" w:after="0"/>
        <w:ind w:left="120"/>
        <w:jc w:val="both"/>
      </w:pPr>
      <w:r>
        <w:rPr>
          <w:rFonts w:ascii="Times New Roman" w:hAnsi="Times New Roman"/>
          <w:b/>
          <w:i w:val="false"/>
          <w:color w:val="000000"/>
          <w:sz w:val="22"/>
        </w:rPr>
        <w:t>274.5(3)</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sales made by retail establishments or service providers located within the urban renewal area that are sourced outside of the county are not subject to the local sales and services tax. For sourcing rules, more information can be found in Iowa Code section </w:t>
      </w:r>
      <w:hyperlink r:id="rId10">
        <w:r>
          <w:rPr>
            <w:rStyle w:val="Hyperlink"/>
            <w:rFonts w:ascii="Times New Roman" w:hAnsi="Times New Roman"/>
            <w:b w:val="false"/>
            <w:i w:val="false"/>
            <w:color w:val="000000"/>
            <w:sz w:val="22"/>
          </w:rPr>
          <w:t>423.15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701—Chapter 205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701—274.6</w:t>
      </w:r>
      <w:r>
        <w:rPr>
          <w:rFonts w:ascii="Times New Roman" w:hAnsi="Times New Roman"/>
          <w:b/>
          <w:i w:val="false"/>
          <w:color w:val="000000"/>
          <w:sz w:val="22"/>
        </w:rPr>
        <w:t xml:space="preserve">(423B) </w:t>
      </w:r>
      <w:r>
        <w:rPr>
          <w:rFonts w:ascii="Times New Roman" w:hAnsi="Times New Roman"/>
          <w:b/>
          <w:i w:val="false"/>
          <w:color w:val="000000"/>
          <w:sz w:val="22"/>
        </w:rPr>
        <w:t xml:space="preserve">Determination of tax growth increment amount. </w:t>
      </w:r>
      <w:r>
        <w:rPr>
          <w:rFonts w:ascii="Times New Roman" w:hAnsi="Times New Roman"/>
          <w:b w:val="false"/>
          <w:i w:val="false"/>
          <w:color w:val="000000"/>
          <w:sz w:val="22"/>
        </w:rPr>
        <w:t>The local sales and services tax growth increment amount for the urban renewal area will be computed for each fiscal year following the base year. The annual local option sales and services tax growth increment amount is equal to the current year taxable sales and services subject to the local sales and services tax that are made by retail establishments located in the urban renewal area minus the corresponding base year taxable sales and services amount for the urban renewal area multiplied by the current local sales and services tax rate applicable to the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701—274.7</w:t>
      </w:r>
      <w:r>
        <w:rPr>
          <w:rFonts w:ascii="Times New Roman" w:hAnsi="Times New Roman"/>
          <w:b/>
          <w:i w:val="false"/>
          <w:color w:val="000000"/>
          <w:sz w:val="22"/>
        </w:rPr>
        <w:t xml:space="preserve">(423B) </w:t>
      </w:r>
      <w:r>
        <w:rPr>
          <w:rFonts w:ascii="Times New Roman" w:hAnsi="Times New Roman"/>
          <w:b/>
          <w:i w:val="false"/>
          <w:color w:val="000000"/>
          <w:sz w:val="22"/>
        </w:rPr>
        <w:t xml:space="preserve">Distribution of tax base and growth increment amounts. </w:t>
      </w:r>
      <w:r>
        <w:rPr>
          <w:rFonts w:ascii="Times New Roman" w:hAnsi="Times New Roman"/>
          <w:b w:val="false"/>
          <w:i w:val="false"/>
          <w:color w:val="000000"/>
          <w:sz w:val="22"/>
        </w:rPr>
        <w:t xml:space="preserve">The revenues from the local sales and services tax growth amount for urban renewal areas in jurisdictions that have enacted ordinances pursuant to Iowa Code section </w:t>
      </w:r>
      <w:hyperlink r:id="rId12">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 xml:space="preserve"> shall be determined annually and shall be distributed to the city within 120 days following the end of the fiscal year in which they are collected.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423.2A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423B.7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423B.10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7666B</w:t>
      </w:r>
      <w:r>
        <w:rPr>
          <w:rFonts w:ascii="Times New Roman" w:hAnsi="Times New Roman"/>
          <w:b w:val="false"/>
          <w:i w:val="false"/>
          <w:color w:val="000000"/>
          <w:sz w:val="21"/>
        </w:rPr>
        <w:t xml:space="preserve"> (Notice ARC 7531B,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[Editorial change: IAC Supplement 4/22/09]</w:t>
      </w:r>
    </w:p>
    <w:p>
      <w:pPr>
        <w:spacing w:before="0" w:after="0"/>
        <w:ind w:left="120"/>
        <w:jc w:val="center"/>
      </w:pPr>
      <w:r>
        <w:rPr>
          <w:rFonts w:ascii="Times New Roman" w:hAnsi="Times New Roman"/>
          <w:b w:val="false"/>
          <w:i w:val="false"/>
          <w:color w:val="000000"/>
          <w:sz w:val="21"/>
        </w:rPr>
        <w:t>[Filed ARC 0468C</w:t>
      </w:r>
      <w:r>
        <w:rPr>
          <w:rFonts w:ascii="Times New Roman" w:hAnsi="Times New Roman"/>
          <w:b w:val="false"/>
          <w:i w:val="false"/>
          <w:color w:val="000000"/>
          <w:sz w:val="21"/>
        </w:rPr>
        <w:t xml:space="preserve"> (Notice ARC 0378C, IAB 10/3/12)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8167C</w:t>
      </w:r>
      <w:r>
        <w:rPr>
          <w:rFonts w:ascii="Times New Roman" w:hAnsi="Times New Roman"/>
          <w:b w:val="false"/>
          <w:i w:val="false"/>
          <w:color w:val="000000"/>
          <w:sz w:val="21"/>
        </w:rPr>
        <w:t xml:space="preserve"> (Notice ARC 7152C,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B.pdf" Type="http://schemas.openxmlformats.org/officeDocument/2006/relationships/hyperlink" Id="rId4"/>
    <Relationship TargetMode="External" Target="https://www.legis.iowa.gov/docs/ico/chapter/423B.pdf" Type="http://schemas.openxmlformats.org/officeDocument/2006/relationships/hyperlink" Id="rId5"/>
    <Relationship TargetMode="External" Target="https://www.legis.iowa.gov/docs/ico/chapter/423B.pdf" Type="http://schemas.openxmlformats.org/officeDocument/2006/relationships/hyperlink" Id="rId6"/>
    <Relationship TargetMode="External" Target="https://www.legis.iowa.gov/docs/ico/chapter/423B.pdf" Type="http://schemas.openxmlformats.org/officeDocument/2006/relationships/hyperlink" Id="rId7"/>
    <Relationship TargetMode="External" Target="https://www.legis.iowa.gov/docs/ico/chapter/423B.pdf" Type="http://schemas.openxmlformats.org/officeDocument/2006/relationships/hyperlink" Id="rId8"/>
    <Relationship TargetMode="External" Target="https://www.legis.iowa.gov/docs/ico/chapter/423B.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chapter/701.205.pdf" Type="http://schemas.openxmlformats.org/officeDocument/2006/relationships/hyperlink" Id="rId11"/>
    <Relationship TargetMode="External" Target="https://www.legis.iowa.gov/docs/ico/chapter/423B.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B.pdf" Type="http://schemas.openxmlformats.org/officeDocument/2006/relationships/hyperlink" Id="rId14"/>
    <Relationship TargetMode="External" Target="https://www.legis.iowa.gov/docs/ico/chapter/423B.pdf" Type="http://schemas.openxmlformats.org/officeDocument/2006/relationships/hyperlink" Id="rId15"/>
    <Relationship TargetMode="External" Target="https://www.legis.iowa.gov/docs/ico/chapter/423B.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