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273</w:t>
      </w:r>
    </w:p>
    <w:p>
      <w:pPr>
        <w:spacing w:before="0" w:after="0"/>
        <w:ind w:left="120"/>
        <w:jc w:val="center"/>
      </w:pPr>
      <w:r>
        <w:rPr>
          <w:rFonts w:ascii="Times New Roman" w:hAnsi="Times New Roman"/>
          <w:b w:val="false"/>
          <w:i w:val="false"/>
          <w:color w:val="000000"/>
          <w:sz w:val="21"/>
        </w:rPr>
        <w:t>REINVESTMENT DISTRICTS PROGRAM</w:t>
      </w:r>
    </w:p>
    <w:p>
      <w:pPr>
        <w:spacing w:before="0" w:after="0"/>
        <w:ind w:left="120"/>
        <w:jc w:val="center"/>
      </w:pPr>
      <w:r>
        <w:rPr>
          <w:rFonts w:ascii="Times New Roman" w:hAnsi="Times New Roman"/>
          <w:b w:val="false"/>
          <w:i w:val="false"/>
          <w:color w:val="000000"/>
          <w:sz w:val="14"/>
        </w:rPr>
        <w:t>[Prior to 9/7/22, see Revenue Department[701] Ch 237]</w:t>
      </w:r>
    </w:p>
    <w:p>
      <w:pPr>
        <w:spacing w:before="0" w:after="0"/>
        <w:ind w:left="120"/>
        <w:jc w:val="both"/>
      </w:pPr>
      <w:r>
        <w:rPr>
          <w:rFonts w:ascii="Times New Roman" w:hAnsi="Times New Roman"/>
          <w:b/>
          <w:i w:val="false"/>
          <w:color w:val="000000"/>
          <w:sz w:val="22"/>
        </w:rPr>
        <w:t>701—273.1</w:t>
      </w:r>
      <w:r>
        <w:rPr>
          <w:rFonts w:ascii="Times New Roman" w:hAnsi="Times New Roman"/>
          <w:b/>
          <w:i w:val="false"/>
          <w:color w:val="000000"/>
          <w:sz w:val="22"/>
        </w:rPr>
        <w:t xml:space="preserve">(15J) </w:t>
      </w:r>
      <w:r>
        <w:rPr>
          <w:rFonts w:ascii="Times New Roman" w:hAnsi="Times New Roman"/>
          <w:b/>
          <w:i w:val="false"/>
          <w:color w:val="000000"/>
          <w:sz w:val="22"/>
        </w:rPr>
        <w:t xml:space="preserve">Purpose and definitions. </w:t>
      </w:r>
      <w:r>
        <w:rPr>
          <w:rFonts w:ascii="Times New Roman" w:hAnsi="Times New Roman"/>
          <w:b w:val="false"/>
          <w:i w:val="false"/>
          <w:color w:val="000000"/>
          <w:sz w:val="22"/>
        </w:rPr>
        <w:t xml:space="preserve">The Iowa reinvestment Act provides for the reinvestment of as much as $100 million in state hotel and motel and state sales tax revenues from revenue-generating projects within certain districts. The economic development authority board is authorized to oversee the implementation and administration of certain provisions of this program, including evaluating projects and making funding decisions. This chapter sets forth rules for the department of revenue’s administration of the calculation, collection, and remittance of funds for this program. The economic development authority board’s administrative rules about this program are found in </w:t>
      </w:r>
      <w:hyperlink r:id="rId4">
        <w:r>
          <w:rPr>
            <w:rStyle w:val="Hyperlink"/>
            <w:rFonts w:ascii="Times New Roman" w:hAnsi="Times New Roman"/>
            <w:b w:val="false"/>
            <w:i w:val="false"/>
            <w:color w:val="000000"/>
            <w:sz w:val="22"/>
          </w:rPr>
          <w:t>261—Chapter 200</w:t>
        </w:r>
      </w:hyperlink>
      <w:r>
        <w:rPr>
          <w:rFonts w:ascii="Times New Roman" w:hAnsi="Times New Roman"/>
          <w:b w:val="false"/>
          <w:i w:val="false"/>
          <w:color w:val="000000"/>
          <w:sz w:val="22"/>
        </w:rPr>
        <w:t xml:space="preserve">. Terms mean the same as defined in Iowa Code chapter </w:t>
      </w:r>
      <w:hyperlink r:id="rId5">
        <w:r>
          <w:rPr>
            <w:rStyle w:val="Hyperlink"/>
            <w:rFonts w:ascii="Times New Roman" w:hAnsi="Times New Roman"/>
            <w:b w:val="false"/>
            <w:i w:val="false"/>
            <w:color w:val="000000"/>
            <w:sz w:val="22"/>
          </w:rPr>
          <w:t>15J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15J</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701—273.2</w:t>
      </w:r>
      <w:r>
        <w:rPr>
          <w:rFonts w:ascii="Times New Roman" w:hAnsi="Times New Roman"/>
          <w:b/>
          <w:i w:val="false"/>
          <w:color w:val="000000"/>
          <w:sz w:val="22"/>
        </w:rPr>
        <w:t xml:space="preserve">(15J) </w:t>
      </w:r>
      <w:r>
        <w:rPr>
          <w:rFonts w:ascii="Times New Roman" w:hAnsi="Times New Roman"/>
          <w:b/>
          <w:i w:val="false"/>
          <w:color w:val="000000"/>
          <w:sz w:val="22"/>
        </w:rPr>
        <w:t xml:space="preserve">New state tax revenue calculations. </w:t>
      </w:r>
    </w:p>
    <w:p>
      <w:pPr>
        <w:spacing w:before="0" w:after="0"/>
        <w:ind w:left="120"/>
        <w:jc w:val="both"/>
      </w:pPr>
      <w:r>
        <w:rPr>
          <w:rFonts w:ascii="Times New Roman" w:hAnsi="Times New Roman"/>
          <w:b/>
          <w:i w:val="false"/>
          <w:color w:val="000000"/>
          <w:sz w:val="22"/>
        </w:rPr>
        <w:t>273.2(1)</w:t>
      </w:r>
      <w:r>
        <w:rPr>
          <w:rFonts w:ascii="Times New Roman" w:hAnsi="Times New Roman"/>
          <w:b w:val="false"/>
          <w:i w:val="false"/>
          <w:color w:val="000000"/>
          <w:sz w:val="22"/>
        </w:rPr>
        <w:t> </w:t>
      </w:r>
      <w:r>
        <w:rPr>
          <w:rFonts w:ascii="Times New Roman" w:hAnsi="Times New Roman"/>
          <w:b w:val="false"/>
          <w:i/>
          <w:color w:val="000000"/>
          <w:sz w:val="22"/>
        </w:rPr>
        <w:t xml:space="preserve">State sales tax. </w:t>
      </w:r>
      <w:r>
        <w:rPr>
          <w:rFonts w:ascii="Times New Roman" w:hAnsi="Times New Roman"/>
          <w:b w:val="false"/>
          <w:i w:val="false"/>
          <w:color w:val="000000"/>
          <w:sz w:val="22"/>
        </w:rPr>
        <w:t xml:space="preserve">For districts established before July 1, 2020, the department will calculate the state sales tax revenues as described in Iowa Code section </w:t>
      </w:r>
      <w:hyperlink r:id="rId7">
        <w:r>
          <w:rPr>
            <w:rStyle w:val="Hyperlink"/>
            <w:rFonts w:ascii="Times New Roman" w:hAnsi="Times New Roman"/>
            <w:b w:val="false"/>
            <w:i w:val="false"/>
            <w:color w:val="000000"/>
            <w:sz w:val="22"/>
          </w:rPr>
          <w:t>15J.5(1)</w:t>
        </w:r>
      </w:hyperlink>
      <w:r>
        <w:rPr>
          <w:rFonts w:ascii="Times New Roman" w:hAnsi="Times New Roman"/>
          <w:b w:val="false"/>
          <w:i/>
          <w:color w:val="000000"/>
          <w:sz w:val="22"/>
        </w:rPr>
        <w:t>“b”</w:t>
      </w:r>
      <w:r>
        <w:rPr>
          <w:rFonts w:ascii="Times New Roman" w:hAnsi="Times New Roman"/>
          <w:b w:val="false"/>
          <w:i w:val="false"/>
          <w:color w:val="000000"/>
          <w:sz w:val="22"/>
        </w:rPr>
        <w:t xml:space="preserve">(1). For those established on or after July 1, 2020, the calculations are as described in Iowa Code section </w:t>
      </w:r>
      <w:hyperlink r:id="rId8">
        <w:r>
          <w:rPr>
            <w:rStyle w:val="Hyperlink"/>
            <w:rFonts w:ascii="Times New Roman" w:hAnsi="Times New Roman"/>
            <w:b w:val="false"/>
            <w:i w:val="false"/>
            <w:color w:val="000000"/>
            <w:sz w:val="22"/>
          </w:rPr>
          <w:t>15J.5(1)</w:t>
        </w:r>
      </w:hyperlink>
      <w:r>
        <w:rPr>
          <w:rFonts w:ascii="Times New Roman" w:hAnsi="Times New Roman"/>
          <w:b w:val="false"/>
          <w:i/>
          <w:color w:val="000000"/>
          <w:sz w:val="22"/>
        </w:rPr>
        <w:t>“b”</w:t>
      </w:r>
      <w:r>
        <w:rPr>
          <w:rFonts w:ascii="Times New Roman" w:hAnsi="Times New Roman"/>
          <w:b w:val="false"/>
          <w:i w:val="false"/>
          <w:color w:val="000000"/>
          <w:sz w:val="22"/>
        </w:rPr>
        <w:t xml:space="preserve">(2). </w:t>
      </w:r>
    </w:p>
    <w:p>
      <w:pPr>
        <w:spacing w:before="0" w:after="0"/>
        <w:ind w:left="120"/>
        <w:jc w:val="both"/>
      </w:pPr>
      <w:r>
        <w:rPr>
          <w:rFonts w:ascii="Times New Roman" w:hAnsi="Times New Roman"/>
          <w:b/>
          <w:i w:val="false"/>
          <w:color w:val="000000"/>
          <w:sz w:val="22"/>
        </w:rPr>
        <w:t>273.2(2)</w:t>
      </w:r>
      <w:r>
        <w:rPr>
          <w:rFonts w:ascii="Times New Roman" w:hAnsi="Times New Roman"/>
          <w:b w:val="false"/>
          <w:i w:val="false"/>
          <w:color w:val="000000"/>
          <w:sz w:val="22"/>
        </w:rPr>
        <w:t> </w:t>
      </w:r>
      <w:r>
        <w:rPr>
          <w:rFonts w:ascii="Times New Roman" w:hAnsi="Times New Roman"/>
          <w:b w:val="false"/>
          <w:i/>
          <w:color w:val="000000"/>
          <w:sz w:val="22"/>
        </w:rPr>
        <w:t xml:space="preserve">State hotel and motel tax. </w:t>
      </w:r>
      <w:r>
        <w:rPr>
          <w:rFonts w:ascii="Times New Roman" w:hAnsi="Times New Roman"/>
          <w:b w:val="false"/>
          <w:i w:val="false"/>
          <w:color w:val="000000"/>
          <w:sz w:val="22"/>
        </w:rPr>
        <w:t xml:space="preserve">For districts established before July 1, 2020, the department will calculate the state hotel and motel tax revenues as described in Iowa Code section </w:t>
      </w:r>
      <w:hyperlink r:id="rId9">
        <w:r>
          <w:rPr>
            <w:rStyle w:val="Hyperlink"/>
            <w:rFonts w:ascii="Times New Roman" w:hAnsi="Times New Roman"/>
            <w:b w:val="false"/>
            <w:i w:val="false"/>
            <w:color w:val="000000"/>
            <w:sz w:val="22"/>
          </w:rPr>
          <w:t>15J.5(2)</w:t>
        </w:r>
      </w:hyperlink>
      <w:r>
        <w:rPr>
          <w:rFonts w:ascii="Times New Roman" w:hAnsi="Times New Roman"/>
          <w:b w:val="false"/>
          <w:i/>
          <w:color w:val="000000"/>
          <w:sz w:val="22"/>
        </w:rPr>
        <w:t>“b”</w:t>
      </w:r>
      <w:r>
        <w:rPr>
          <w:rFonts w:ascii="Times New Roman" w:hAnsi="Times New Roman"/>
          <w:b w:val="false"/>
          <w:i w:val="false"/>
          <w:color w:val="000000"/>
          <w:sz w:val="22"/>
        </w:rPr>
        <w:t xml:space="preserve">(1). For those established on or after July 1, 2020, the calculations are as described in Iowa Code section </w:t>
      </w:r>
      <w:hyperlink r:id="rId10">
        <w:r>
          <w:rPr>
            <w:rStyle w:val="Hyperlink"/>
            <w:rFonts w:ascii="Times New Roman" w:hAnsi="Times New Roman"/>
            <w:b w:val="false"/>
            <w:i w:val="false"/>
            <w:color w:val="000000"/>
            <w:sz w:val="22"/>
          </w:rPr>
          <w:t>15J.5(2)</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i w:val="false"/>
          <w:color w:val="000000"/>
          <w:sz w:val="22"/>
        </w:rPr>
        <w:t>273.2(3)</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new retail establishments and lessors. </w:t>
      </w:r>
      <w:r>
        <w:rPr>
          <w:rFonts w:ascii="Times New Roman" w:hAnsi="Times New Roman"/>
          <w:b w:val="false"/>
          <w:i w:val="false"/>
          <w:color w:val="000000"/>
          <w:sz w:val="22"/>
        </w:rPr>
        <w:t xml:space="preserve">Each municipality that has established a district under Iowa Code chapter </w:t>
      </w:r>
      <w:hyperlink r:id="rId11">
        <w:r>
          <w:rPr>
            <w:rStyle w:val="Hyperlink"/>
            <w:rFonts w:ascii="Times New Roman" w:hAnsi="Times New Roman"/>
            <w:b w:val="false"/>
            <w:i w:val="false"/>
            <w:color w:val="000000"/>
            <w:sz w:val="22"/>
          </w:rPr>
          <w:t>15J</w:t>
        </w:r>
      </w:hyperlink>
      <w:r>
        <w:rPr>
          <w:rFonts w:ascii="Times New Roman" w:hAnsi="Times New Roman"/>
          <w:b w:val="false"/>
          <w:i w:val="false"/>
          <w:color w:val="000000"/>
          <w:sz w:val="22"/>
        </w:rPr>
        <w:t xml:space="preserve"> must notify the department of new retail establishments and lessors in the district that are created as soon as possible. This process shall be ongoing until the municipality ceases to utilize state sales tax revenue or state hotel and motel tax revenue under this chapter or the district is dissolved.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15J.5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423.2(11)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423A.6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701—273.3</w:t>
      </w:r>
      <w:r>
        <w:rPr>
          <w:rFonts w:ascii="Times New Roman" w:hAnsi="Times New Roman"/>
          <w:b/>
          <w:i w:val="false"/>
          <w:color w:val="000000"/>
          <w:sz w:val="22"/>
        </w:rPr>
        <w:t xml:space="preserve">(15J) </w:t>
      </w:r>
      <w:r>
        <w:rPr>
          <w:rFonts w:ascii="Times New Roman" w:hAnsi="Times New Roman"/>
          <w:b/>
          <w:i w:val="false"/>
          <w:color w:val="000000"/>
          <w:sz w:val="22"/>
        </w:rPr>
        <w:t xml:space="preserve">State reinvestment district fund. </w:t>
      </w:r>
    </w:p>
    <w:p>
      <w:pPr>
        <w:spacing w:before="0" w:after="0"/>
        <w:ind w:left="120"/>
        <w:jc w:val="both"/>
      </w:pPr>
      <w:r>
        <w:rPr>
          <w:rFonts w:ascii="Times New Roman" w:hAnsi="Times New Roman"/>
          <w:b/>
          <w:i w:val="false"/>
          <w:color w:val="000000"/>
          <w:sz w:val="22"/>
        </w:rPr>
        <w:t>273.3(1)</w:t>
      </w:r>
      <w:r>
        <w:rPr>
          <w:rFonts w:ascii="Times New Roman" w:hAnsi="Times New Roman"/>
          <w:b w:val="false"/>
          <w:i w:val="false"/>
          <w:color w:val="000000"/>
          <w:sz w:val="22"/>
        </w:rPr>
        <w:t> </w:t>
      </w:r>
      <w:r>
        <w:rPr>
          <w:rFonts w:ascii="Times New Roman" w:hAnsi="Times New Roman"/>
          <w:b w:val="false"/>
          <w:i/>
          <w:color w:val="000000"/>
          <w:sz w:val="22"/>
        </w:rPr>
        <w:t xml:space="preserve">Deposits. </w:t>
      </w:r>
      <w:r>
        <w:rPr>
          <w:rFonts w:ascii="Times New Roman" w:hAnsi="Times New Roman"/>
          <w:b w:val="false"/>
          <w:i w:val="false"/>
          <w:color w:val="000000"/>
          <w:sz w:val="22"/>
        </w:rPr>
        <w:t xml:space="preserve">The department shall deposit moneys into the appropriate district fund as described in Iowa Code section </w:t>
      </w:r>
      <w:hyperlink r:id="rId15">
        <w:r>
          <w:rPr>
            <w:rStyle w:val="Hyperlink"/>
            <w:rFonts w:ascii="Times New Roman" w:hAnsi="Times New Roman"/>
            <w:b w:val="false"/>
            <w:i w:val="false"/>
            <w:color w:val="000000"/>
            <w:sz w:val="22"/>
          </w:rPr>
          <w:t>15J.6</w:t>
        </w:r>
      </w:hyperlink>
      <w:r>
        <w:rPr>
          <w:rFonts w:ascii="Times New Roman" w:hAnsi="Times New Roman"/>
          <w:b w:val="false"/>
          <w:i w:val="false"/>
          <w:color w:val="000000"/>
          <w:sz w:val="22"/>
        </w:rPr>
        <w:t>; however, moneys shall not be deposited in the fund before the period for processing returns is complete.</w:t>
      </w:r>
    </w:p>
    <w:p>
      <w:pPr>
        <w:spacing w:before="0" w:after="0"/>
        <w:ind w:left="120"/>
        <w:jc w:val="both"/>
      </w:pPr>
      <w:r>
        <w:rPr>
          <w:rFonts w:ascii="Times New Roman" w:hAnsi="Times New Roman"/>
          <w:b/>
          <w:i w:val="false"/>
          <w:color w:val="000000"/>
          <w:sz w:val="22"/>
        </w:rPr>
        <w:t>273.3(2)</w:t>
      </w:r>
      <w:r>
        <w:rPr>
          <w:rFonts w:ascii="Times New Roman" w:hAnsi="Times New Roman"/>
          <w:b w:val="false"/>
          <w:i w:val="false"/>
          <w:color w:val="000000"/>
          <w:sz w:val="22"/>
        </w:rPr>
        <w:t> </w:t>
      </w:r>
      <w:r>
        <w:rPr>
          <w:rFonts w:ascii="Times New Roman" w:hAnsi="Times New Roman"/>
          <w:b w:val="false"/>
          <w:i/>
          <w:color w:val="000000"/>
          <w:sz w:val="22"/>
        </w:rPr>
        <w:t xml:space="preserve">Late-filed returns. </w:t>
      </w:r>
      <w:r>
        <w:rPr>
          <w:rFonts w:ascii="Times New Roman" w:hAnsi="Times New Roman"/>
          <w:b w:val="false"/>
          <w:i w:val="false"/>
          <w:color w:val="000000"/>
          <w:sz w:val="22"/>
        </w:rPr>
        <w:t xml:space="preserve">Moneys described in Iowa Code section </w:t>
      </w:r>
      <w:hyperlink r:id="rId16">
        <w:r>
          <w:rPr>
            <w:rStyle w:val="Hyperlink"/>
            <w:rFonts w:ascii="Times New Roman" w:hAnsi="Times New Roman"/>
            <w:b w:val="false"/>
            <w:i w:val="false"/>
            <w:color w:val="000000"/>
            <w:sz w:val="22"/>
          </w:rPr>
          <w:t>15J.6</w:t>
        </w:r>
      </w:hyperlink>
      <w:r>
        <w:rPr>
          <w:rFonts w:ascii="Times New Roman" w:hAnsi="Times New Roman"/>
          <w:b w:val="false"/>
          <w:i w:val="false"/>
          <w:color w:val="000000"/>
          <w:sz w:val="22"/>
        </w:rPr>
        <w:t xml:space="preserve"> that are collected from late-filed returns shall be deposited in the fund. Such moneys shall be deposited following the period for processing returns for the quarter in which the late return is received, subject to the limitations of Iowa Code chapter </w:t>
      </w:r>
      <w:hyperlink r:id="rId17">
        <w:r>
          <w:rPr>
            <w:rStyle w:val="Hyperlink"/>
            <w:rFonts w:ascii="Times New Roman" w:hAnsi="Times New Roman"/>
            <w:b w:val="false"/>
            <w:i w:val="false"/>
            <w:color w:val="000000"/>
            <w:sz w:val="22"/>
          </w:rPr>
          <w:t>15J</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273.3(3)</w:t>
      </w:r>
      <w:r>
        <w:rPr>
          <w:rFonts w:ascii="Times New Roman" w:hAnsi="Times New Roman"/>
          <w:b w:val="false"/>
          <w:i w:val="false"/>
          <w:color w:val="000000"/>
          <w:sz w:val="22"/>
        </w:rPr>
        <w:t> </w:t>
      </w:r>
      <w:r>
        <w:rPr>
          <w:rFonts w:ascii="Times New Roman" w:hAnsi="Times New Roman"/>
          <w:b w:val="false"/>
          <w:i/>
          <w:color w:val="000000"/>
          <w:sz w:val="22"/>
        </w:rPr>
        <w:t xml:space="preserve">Refund claims. </w:t>
      </w:r>
      <w:r>
        <w:rPr>
          <w:rFonts w:ascii="Times New Roman" w:hAnsi="Times New Roman"/>
          <w:b w:val="false"/>
          <w:i w:val="false"/>
          <w:color w:val="000000"/>
          <w:sz w:val="22"/>
        </w:rPr>
        <w:t xml:space="preserve">If the moneys described in Iowa Code section </w:t>
      </w:r>
      <w:hyperlink r:id="rId18">
        <w:r>
          <w:rPr>
            <w:rStyle w:val="Hyperlink"/>
            <w:rFonts w:ascii="Times New Roman" w:hAnsi="Times New Roman"/>
            <w:b w:val="false"/>
            <w:i w:val="false"/>
            <w:color w:val="000000"/>
            <w:sz w:val="22"/>
          </w:rPr>
          <w:t>15J.6</w:t>
        </w:r>
      </w:hyperlink>
      <w:r>
        <w:rPr>
          <w:rFonts w:ascii="Times New Roman" w:hAnsi="Times New Roman"/>
          <w:b w:val="false"/>
          <w:i w:val="false"/>
          <w:color w:val="000000"/>
          <w:sz w:val="22"/>
        </w:rPr>
        <w:t xml:space="preserve"> are the subject of a refund claim and that claim is granted by the department, the department may offset any refund at a later date against funds remitted to the district in which the new retail establishment or new lessor that had remitted the refunded tax amount is located.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15J.6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701—273.4</w:t>
      </w:r>
      <w:r>
        <w:rPr>
          <w:rFonts w:ascii="Times New Roman" w:hAnsi="Times New Roman"/>
          <w:b/>
          <w:i w:val="false"/>
          <w:color w:val="000000"/>
          <w:sz w:val="22"/>
        </w:rPr>
        <w:t xml:space="preserve">(15J) </w:t>
      </w:r>
      <w:r>
        <w:rPr>
          <w:rFonts w:ascii="Times New Roman" w:hAnsi="Times New Roman"/>
          <w:b/>
          <w:i w:val="false"/>
          <w:color w:val="000000"/>
          <w:sz w:val="22"/>
        </w:rPr>
        <w:t xml:space="preserve">Reinvestment project fund. </w:t>
      </w:r>
      <w:r>
        <w:rPr>
          <w:rFonts w:ascii="Times New Roman" w:hAnsi="Times New Roman"/>
          <w:b w:val="false"/>
          <w:i w:val="false"/>
          <w:color w:val="000000"/>
          <w:sz w:val="22"/>
        </w:rPr>
        <w:t xml:space="preserve">State sales tax revenue and state hotel and motel tax revenue will be remitted by the department and deposited into reinvestment project funds as described in Iowa Code section </w:t>
      </w:r>
      <w:hyperlink r:id="rId20">
        <w:r>
          <w:rPr>
            <w:rStyle w:val="Hyperlink"/>
            <w:rFonts w:ascii="Times New Roman" w:hAnsi="Times New Roman"/>
            <w:b w:val="false"/>
            <w:i w:val="false"/>
            <w:color w:val="000000"/>
            <w:sz w:val="22"/>
          </w:rPr>
          <w:t>15J.7</w:t>
        </w:r>
      </w:hyperlink>
      <w:r>
        <w:rPr>
          <w:rFonts w:ascii="Times New Roman" w:hAnsi="Times New Roman"/>
          <w:b w:val="false"/>
          <w:i w:val="false"/>
          <w:color w:val="000000"/>
          <w:sz w:val="22"/>
        </w:rPr>
        <w:t xml:space="preserve">. Moneys deposited in the fund shall only be used to fund projects as described in Iowa Code section </w:t>
      </w:r>
      <w:hyperlink r:id="rId21">
        <w:r>
          <w:rPr>
            <w:rStyle w:val="Hyperlink"/>
            <w:rFonts w:ascii="Times New Roman" w:hAnsi="Times New Roman"/>
            <w:b w:val="false"/>
            <w:i w:val="false"/>
            <w:color w:val="000000"/>
            <w:sz w:val="22"/>
          </w:rPr>
          <w:t>15J.7(1)</w:t>
        </w:r>
      </w:hyperlink>
      <w:r>
        <w:rPr>
          <w:rFonts w:ascii="Times New Roman" w:hAnsi="Times New Roman"/>
          <w:b w:val="false"/>
          <w:i w:val="false"/>
          <w:color w:val="000000"/>
          <w:sz w:val="22"/>
        </w:rPr>
        <w:t xml:space="preserve"> and not those projects described in Iowa Code section </w:t>
      </w:r>
      <w:hyperlink r:id="rId22">
        <w:r>
          <w:rPr>
            <w:rStyle w:val="Hyperlink"/>
            <w:rFonts w:ascii="Times New Roman" w:hAnsi="Times New Roman"/>
            <w:b w:val="false"/>
            <w:i w:val="false"/>
            <w:color w:val="000000"/>
            <w:sz w:val="22"/>
          </w:rPr>
          <w:t>15J.7(4)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15J.7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701—273.5</w:t>
      </w:r>
      <w:r>
        <w:rPr>
          <w:rFonts w:ascii="Times New Roman" w:hAnsi="Times New Roman"/>
          <w:b/>
          <w:i w:val="false"/>
          <w:color w:val="000000"/>
          <w:sz w:val="22"/>
        </w:rPr>
        <w:t xml:space="preserve">(15J) </w:t>
      </w:r>
      <w:r>
        <w:rPr>
          <w:rFonts w:ascii="Times New Roman" w:hAnsi="Times New Roman"/>
          <w:b/>
          <w:i w:val="false"/>
          <w:color w:val="000000"/>
          <w:sz w:val="22"/>
        </w:rPr>
        <w:t xml:space="preserve">End of deposits—district dissolution. </w:t>
      </w:r>
    </w:p>
    <w:p>
      <w:pPr>
        <w:spacing w:before="0" w:after="0"/>
        <w:ind w:left="120"/>
        <w:jc w:val="both"/>
      </w:pPr>
      <w:r>
        <w:rPr>
          <w:rFonts w:ascii="Times New Roman" w:hAnsi="Times New Roman"/>
          <w:b/>
          <w:i w:val="false"/>
          <w:color w:val="000000"/>
          <w:sz w:val="22"/>
        </w:rPr>
        <w:t>273.5(1)</w:t>
      </w:r>
      <w:r>
        <w:rPr>
          <w:rFonts w:ascii="Times New Roman" w:hAnsi="Times New Roman"/>
          <w:b w:val="false"/>
          <w:i w:val="false"/>
          <w:color w:val="000000"/>
          <w:sz w:val="22"/>
        </w:rPr>
        <w:t> </w:t>
      </w:r>
      <w:r>
        <w:rPr>
          <w:rFonts w:ascii="Times New Roman" w:hAnsi="Times New Roman"/>
          <w:b w:val="false"/>
          <w:i/>
          <w:color w:val="000000"/>
          <w:sz w:val="22"/>
        </w:rPr>
        <w:t xml:space="preserve">Cessation of deposits.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department shall cease to deposit state sales tax revenues and state hotel and motel revenues once the limitations described in either Iowa Code section </w:t>
      </w:r>
      <w:hyperlink r:id="rId24">
        <w:r>
          <w:rPr>
            <w:rStyle w:val="Hyperlink"/>
            <w:rFonts w:ascii="Times New Roman" w:hAnsi="Times New Roman"/>
            <w:b w:val="false"/>
            <w:i w:val="false"/>
            <w:color w:val="000000"/>
            <w:sz w:val="22"/>
          </w:rPr>
          <w:t>15J.8(1)</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15J.8(2)</w:t>
        </w:r>
      </w:hyperlink>
      <w:r>
        <w:rPr>
          <w:rFonts w:ascii="Times New Roman" w:hAnsi="Times New Roman"/>
          <w:b w:val="false"/>
          <w:i w:val="false"/>
          <w:color w:val="000000"/>
          <w:sz w:val="22"/>
        </w:rPr>
        <w:t xml:space="preserve"> are met.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department shall cease to deposit new tax revenues into a district’s account within the fund once the maximum benefit amount approved by the board for the district has been reached. If a district reaches the maximum benefit amount, the department shall notify the municipality and the board within a reasonable amount of time.</w:t>
      </w:r>
    </w:p>
    <w:p>
      <w:pPr>
        <w:spacing w:before="0" w:after="0"/>
        <w:ind w:left="120"/>
        <w:jc w:val="both"/>
      </w:pPr>
      <w:r>
        <w:rPr>
          <w:rFonts w:ascii="Times New Roman" w:hAnsi="Times New Roman"/>
          <w:b/>
          <w:i w:val="false"/>
          <w:color w:val="000000"/>
          <w:sz w:val="22"/>
        </w:rPr>
        <w:t>273.5(2)</w:t>
      </w:r>
      <w:r>
        <w:rPr>
          <w:rFonts w:ascii="Times New Roman" w:hAnsi="Times New Roman"/>
          <w:b w:val="false"/>
          <w:i w:val="false"/>
          <w:color w:val="000000"/>
          <w:sz w:val="22"/>
        </w:rPr>
        <w:t> </w:t>
      </w:r>
      <w:r>
        <w:rPr>
          <w:rFonts w:ascii="Times New Roman" w:hAnsi="Times New Roman"/>
          <w:b w:val="false"/>
          <w:i/>
          <w:color w:val="000000"/>
          <w:sz w:val="22"/>
        </w:rPr>
        <w:t xml:space="preserve">District dissolution.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a municipality dissolves a district pursuant to Iowa Code section </w:t>
      </w:r>
      <w:hyperlink r:id="rId26">
        <w:r>
          <w:rPr>
            <w:rStyle w:val="Hyperlink"/>
            <w:rFonts w:ascii="Times New Roman" w:hAnsi="Times New Roman"/>
            <w:b w:val="false"/>
            <w:i w:val="false"/>
            <w:color w:val="000000"/>
            <w:sz w:val="22"/>
          </w:rPr>
          <w:t>15J.8(2)</w:t>
        </w:r>
      </w:hyperlink>
      <w:r>
        <w:rPr>
          <w:rFonts w:ascii="Times New Roman" w:hAnsi="Times New Roman"/>
          <w:b w:val="false"/>
          <w:i w:val="false"/>
          <w:color w:val="000000"/>
          <w:sz w:val="22"/>
        </w:rPr>
        <w:t xml:space="preserve">, the municipality must notify the department as required by Iowa Code section </w:t>
      </w:r>
      <w:hyperlink r:id="rId27">
        <w:r>
          <w:rPr>
            <w:rStyle w:val="Hyperlink"/>
            <w:rFonts w:ascii="Times New Roman" w:hAnsi="Times New Roman"/>
            <w:b w:val="false"/>
            <w:i w:val="false"/>
            <w:color w:val="000000"/>
            <w:sz w:val="22"/>
          </w:rPr>
          <w:t>15J.8(2)</w:t>
        </w:r>
      </w:hyperlink>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a municipality is notified that its maximum benefit amount has been reached, the municipality shall dissolve the district by ordinance as soon as practicable after notification.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15J.8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701—273.6</w:t>
      </w:r>
      <w:r>
        <w:rPr>
          <w:rFonts w:ascii="Times New Roman" w:hAnsi="Times New Roman"/>
          <w:b/>
          <w:i w:val="false"/>
          <w:color w:val="000000"/>
          <w:sz w:val="22"/>
        </w:rPr>
        <w:t xml:space="preserve">(15J) </w:t>
      </w:r>
      <w:r>
        <w:rPr>
          <w:rFonts w:ascii="Times New Roman" w:hAnsi="Times New Roman"/>
          <w:b/>
          <w:i w:val="false"/>
          <w:color w:val="000000"/>
          <w:sz w:val="22"/>
        </w:rPr>
        <w:t xml:space="preserve">Administrative fee. </w:t>
      </w:r>
    </w:p>
    <w:p>
      <w:pPr>
        <w:spacing w:before="0" w:after="0"/>
        <w:ind w:left="120"/>
        <w:jc w:val="both"/>
      </w:pPr>
      <w:r>
        <w:rPr>
          <w:rFonts w:ascii="Times New Roman" w:hAnsi="Times New Roman"/>
          <w:b/>
          <w:i w:val="false"/>
          <w:color w:val="000000"/>
          <w:sz w:val="22"/>
        </w:rPr>
        <w:t>273.6(1)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fee. </w:t>
      </w:r>
      <w:r>
        <w:rPr>
          <w:rFonts w:ascii="Times New Roman" w:hAnsi="Times New Roman"/>
          <w:b w:val="false"/>
          <w:i w:val="false"/>
          <w:color w:val="000000"/>
          <w:sz w:val="22"/>
        </w:rPr>
        <w:t xml:space="preserve">Pursuant to Iowa Code section </w:t>
      </w:r>
      <w:hyperlink r:id="rId29">
        <w:r>
          <w:rPr>
            <w:rStyle w:val="Hyperlink"/>
            <w:rFonts w:ascii="Times New Roman" w:hAnsi="Times New Roman"/>
            <w:b w:val="false"/>
            <w:i w:val="false"/>
            <w:color w:val="000000"/>
            <w:sz w:val="22"/>
          </w:rPr>
          <w:t>423.2A(3)</w:t>
        </w:r>
      </w:hyperlink>
      <w:r>
        <w:rPr>
          <w:rFonts w:ascii="Times New Roman" w:hAnsi="Times New Roman"/>
          <w:b w:val="false"/>
          <w:i w:val="false"/>
          <w:color w:val="000000"/>
          <w:sz w:val="22"/>
        </w:rPr>
        <w:t>, the department will retain an administrative fee from the amount it would otherwise distribute to the reinvestment district program.</w:t>
      </w:r>
    </w:p>
    <w:p>
      <w:pPr>
        <w:spacing w:before="0" w:after="0"/>
        <w:ind w:left="120"/>
        <w:jc w:val="both"/>
      </w:pPr>
      <w:r>
        <w:rPr>
          <w:rFonts w:ascii="Times New Roman" w:hAnsi="Times New Roman"/>
          <w:b/>
          <w:i w:val="false"/>
          <w:color w:val="000000"/>
          <w:sz w:val="22"/>
        </w:rPr>
        <w:t>273.6(2)</w:t>
      </w:r>
      <w:r>
        <w:rPr>
          <w:rFonts w:ascii="Times New Roman" w:hAnsi="Times New Roman"/>
          <w:b w:val="false"/>
          <w:i w:val="false"/>
          <w:color w:val="000000"/>
          <w:sz w:val="22"/>
        </w:rPr>
        <w:t> </w:t>
      </w:r>
      <w:r>
        <w:rPr>
          <w:rFonts w:ascii="Times New Roman" w:hAnsi="Times New Roman"/>
          <w:b w:val="false"/>
          <w:i/>
          <w:color w:val="000000"/>
          <w:sz w:val="22"/>
        </w:rPr>
        <w:t xml:space="preserve">Amount retained. </w:t>
      </w:r>
      <w:r>
        <w:rPr>
          <w:rFonts w:ascii="Times New Roman" w:hAnsi="Times New Roman"/>
          <w:b w:val="false"/>
          <w:i w:val="false"/>
          <w:color w:val="000000"/>
          <w:sz w:val="22"/>
        </w:rPr>
        <w:t xml:space="preserve">The amount retained each quarter will be the total of the prorated shares amongst all projects in both the reinvestment districts programs and the flood mitigation program authorized under Iowa Code chapter </w:t>
      </w:r>
      <w:hyperlink r:id="rId30">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273.6(3)</w:t>
      </w:r>
      <w:r>
        <w:rPr>
          <w:rFonts w:ascii="Times New Roman" w:hAnsi="Times New Roman"/>
          <w:b w:val="false"/>
          <w:i w:val="false"/>
          <w:color w:val="000000"/>
          <w:sz w:val="22"/>
        </w:rPr>
        <w:t> </w:t>
      </w:r>
      <w:r>
        <w:rPr>
          <w:rFonts w:ascii="Times New Roman" w:hAnsi="Times New Roman"/>
          <w:b w:val="false"/>
          <w:i/>
          <w:color w:val="000000"/>
          <w:sz w:val="22"/>
        </w:rPr>
        <w:t xml:space="preserve">Prorated share. </w:t>
      </w:r>
      <w:r>
        <w:rPr>
          <w:rFonts w:ascii="Times New Roman" w:hAnsi="Times New Roman"/>
          <w:b w:val="false"/>
          <w:i w:val="false"/>
          <w:color w:val="000000"/>
          <w:sz w:val="22"/>
        </w:rPr>
        <w:t>Each entity’s prorated share of the administrative fee for each quarter will be calculated as follows:</w:t>
      </w:r>
    </w:p>
    <w:tbl>
      <w:tblPr>
        <w:tblW w:w="0" w:type="auto"/>
        <w:tblCellSpacing w:w="0" w:type="auto"/>
        <w:tblBorders>
          <w:top w:val="none"/>
          <w:left w:val="none"/>
          <w:bottom w:val="none"/>
          <w:right w:val="none"/>
          <w:insideH w:val="none"/>
          <w:insideV w:val="none"/>
        </w:tblBorders>
        <w:tblLayout w:type="fixed"/>
      </w:tblPr>
      <w:tblGrid>
        <w:gridCol w:w="230"/>
        <w:gridCol w:w="11175"/>
        <w:gridCol w:w="115"/>
      </w:tblGrid>
      <w:tr>
        <w:trPr>
          <w:trHeight w:val="5250" w:hRule="atLeast"/>
        </w:trPr>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Reinvestment district entity’s distribution for the quarter</w:t>
            </w:r>
            <w:r>
              <w:br/>
            </w:r>
            <w:r>
              <w:rPr>
                <w:rFonts w:ascii="Times New Roman" w:hAnsi="Times New Roman"/>
                <w:b w:val="false"/>
                <w:i w:val="false"/>
                <w:color w:val="000000"/>
                <w:sz w:val="20"/>
              </w:rPr>
              <w:t xml:space="preserve">Total distributions of both the flood mitigation </w:t>
            </w:r>
            <w:r>
              <w:br/>
            </w:r>
            <w:r>
              <w:rPr>
                <w:rFonts w:ascii="Times New Roman" w:hAnsi="Times New Roman"/>
                <w:b w:val="false"/>
                <w:i w:val="false"/>
                <w:color w:val="000000"/>
                <w:sz w:val="20"/>
              </w:rPr>
              <w:t>and reinvestment districts for the quarter</w:t>
            </w:r>
          </w:p>
        </w:tc>
        <w:tc>
          <w:tcPr>
            <w:tcW w:w="1117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x</w:t>
            </w:r>
          </w:p>
        </w:tc>
        <w:tc>
          <w:tcPr>
            <w:tcW w:w="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Either $25,000 or the department’s </w:t>
            </w:r>
            <w:r>
              <w:br/>
            </w:r>
            <w:r>
              <w:rPr>
                <w:rFonts w:ascii="Times New Roman" w:hAnsi="Times New Roman"/>
                <w:b w:val="false"/>
                <w:i w:val="false"/>
                <w:color w:val="000000"/>
                <w:sz w:val="20"/>
              </w:rPr>
              <w:t>actual expenses, whichever is less</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423.2A(3)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1443C</w:t>
      </w:r>
      <w:r>
        <w:rPr>
          <w:rFonts w:ascii="Times New Roman" w:hAnsi="Times New Roman"/>
          <w:b w:val="false"/>
          <w:i w:val="false"/>
          <w:color w:val="000000"/>
          <w:sz w:val="21"/>
        </w:rPr>
        <w:t xml:space="preserve"> (Notice ARC 1363C, IAB 3/5/14)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8166C</w:t>
      </w:r>
      <w:r>
        <w:rPr>
          <w:rFonts w:ascii="Times New Roman" w:hAnsi="Times New Roman"/>
          <w:b w:val="false"/>
          <w:i w:val="false"/>
          <w:color w:val="000000"/>
          <w:sz w:val="21"/>
        </w:rPr>
        <w:t xml:space="preserve"> (Notice ARC 7185C,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261.200.pdf" Type="http://schemas.openxmlformats.org/officeDocument/2006/relationships/hyperlink" Id="rId4"/>
    <Relationship TargetMode="External" Target="https://www.legis.iowa.gov/docs/ico/chapter/15J.pdf" Type="http://schemas.openxmlformats.org/officeDocument/2006/relationships/hyperlink" Id="rId5"/>
    <Relationship TargetMode="External" Target="https://www.legis.iowa.gov/docs/ico/chapter/15J.pdf" Type="http://schemas.openxmlformats.org/officeDocument/2006/relationships/hyperlink" Id="rId6"/>
    <Relationship TargetMode="External" Target="https://www.legis.iowa.gov/docs/ico/chapter/15J.pdf" Type="http://schemas.openxmlformats.org/officeDocument/2006/relationships/hyperlink" Id="rId7"/>
    <Relationship TargetMode="External" Target="https://www.legis.iowa.gov/docs/ico/chapter/15J.pdf" Type="http://schemas.openxmlformats.org/officeDocument/2006/relationships/hyperlink" Id="rId8"/>
    <Relationship TargetMode="External" Target="https://www.legis.iowa.gov/docs/ico/chapter/15J.pdf" Type="http://schemas.openxmlformats.org/officeDocument/2006/relationships/hyperlink" Id="rId9"/>
    <Relationship TargetMode="External" Target="https://www.legis.iowa.gov/docs/ico/chapter/15J.pdf" Type="http://schemas.openxmlformats.org/officeDocument/2006/relationships/hyperlink" Id="rId10"/>
    <Relationship TargetMode="External" Target="https://www.legis.iowa.gov/docs/ico/chapter/15J.pdf" Type="http://schemas.openxmlformats.org/officeDocument/2006/relationships/hyperlink" Id="rId11"/>
    <Relationship TargetMode="External" Target="https://www.legis.iowa.gov/docs/ico/chapter/15J.pdf" Type="http://schemas.openxmlformats.org/officeDocument/2006/relationships/hyperlink" Id="rId12"/>
    <Relationship TargetMode="External" Target="https://www.legis.iowa.gov/docs/ico/chapter/423.pdf" Type="http://schemas.openxmlformats.org/officeDocument/2006/relationships/hyperlink" Id="rId13"/>
    <Relationship TargetMode="External" Target="https://www.legis.iowa.gov/docs/ico/chapter/423A.pdf" Type="http://schemas.openxmlformats.org/officeDocument/2006/relationships/hyperlink" Id="rId14"/>
    <Relationship TargetMode="External" Target="https://www.legis.iowa.gov/docs/ico/chapter/15J.pdf" Type="http://schemas.openxmlformats.org/officeDocument/2006/relationships/hyperlink" Id="rId15"/>
    <Relationship TargetMode="External" Target="https://www.legis.iowa.gov/docs/ico/chapter/15J.pdf" Type="http://schemas.openxmlformats.org/officeDocument/2006/relationships/hyperlink" Id="rId16"/>
    <Relationship TargetMode="External" Target="https://www.legis.iowa.gov/docs/ico/chapter/15J.pdf" Type="http://schemas.openxmlformats.org/officeDocument/2006/relationships/hyperlink" Id="rId17"/>
    <Relationship TargetMode="External" Target="https://www.legis.iowa.gov/docs/ico/chapter/15J.pdf" Type="http://schemas.openxmlformats.org/officeDocument/2006/relationships/hyperlink" Id="rId18"/>
    <Relationship TargetMode="External" Target="https://www.legis.iowa.gov/docs/ico/chapter/15J.pdf" Type="http://schemas.openxmlformats.org/officeDocument/2006/relationships/hyperlink" Id="rId19"/>
    <Relationship TargetMode="External" Target="https://www.legis.iowa.gov/docs/ico/chapter/15J.pdf" Type="http://schemas.openxmlformats.org/officeDocument/2006/relationships/hyperlink" Id="rId20"/>
    <Relationship TargetMode="External" Target="https://www.legis.iowa.gov/docs/ico/chapter/15J.pdf" Type="http://schemas.openxmlformats.org/officeDocument/2006/relationships/hyperlink" Id="rId21"/>
    <Relationship TargetMode="External" Target="https://www.legis.iowa.gov/docs/ico/chapter/15J.pdf" Type="http://schemas.openxmlformats.org/officeDocument/2006/relationships/hyperlink" Id="rId22"/>
    <Relationship TargetMode="External" Target="https://www.legis.iowa.gov/docs/ico/chapter/15J.pdf" Type="http://schemas.openxmlformats.org/officeDocument/2006/relationships/hyperlink" Id="rId23"/>
    <Relationship TargetMode="External" Target="https://www.legis.iowa.gov/docs/ico/chapter/15J.pdf" Type="http://schemas.openxmlformats.org/officeDocument/2006/relationships/hyperlink" Id="rId24"/>
    <Relationship TargetMode="External" Target="https://www.legis.iowa.gov/docs/ico/chapter/15J.pdf" Type="http://schemas.openxmlformats.org/officeDocument/2006/relationships/hyperlink" Id="rId25"/>
    <Relationship TargetMode="External" Target="https://www.legis.iowa.gov/docs/ico/chapter/15J.pdf" Type="http://schemas.openxmlformats.org/officeDocument/2006/relationships/hyperlink" Id="rId26"/>
    <Relationship TargetMode="External" Target="https://www.legis.iowa.gov/docs/ico/chapter/15J.pdf" Type="http://schemas.openxmlformats.org/officeDocument/2006/relationships/hyperlink" Id="rId27"/>
    <Relationship TargetMode="External" Target="https://www.legis.iowa.gov/docs/ico/chapter/15J.pdf" Type="http://schemas.openxmlformats.org/officeDocument/2006/relationships/hyperlink" Id="rId28"/>
    <Relationship TargetMode="External" Target="https://www.legis.iowa.gov/docs/ico/chapter/423.pdf" Type="http://schemas.openxmlformats.org/officeDocument/2006/relationships/hyperlink" Id="rId29"/>
    <Relationship TargetMode="External" Target="https://www.legis.iowa.gov/docs/ico/chapter/418.pdf" Type="http://schemas.openxmlformats.org/officeDocument/2006/relationships/hyperlink" Id="rId30"/>
    <Relationship TargetMode="External" Target="https://www.legis.iowa.gov/docs/ico/chapter/423.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