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2.9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225</w:t>
      </w:r>
    </w:p>
    <w:p>
      <w:pPr>
        <w:spacing w:before="0" w:after="0"/>
        <w:ind w:left="120"/>
        <w:jc w:val="center"/>
      </w:pPr>
      <w:r>
        <w:rPr>
          <w:rFonts w:ascii="Times New Roman" w:hAnsi="Times New Roman"/>
          <w:b w:val="false"/>
          <w:i w:val="false"/>
          <w:color w:val="000000"/>
          <w:sz w:val="21"/>
        </w:rPr>
        <w:t xml:space="preserve">RESALE AND PROCESSING EXEMPTIONS PRIMARILY </w:t>
      </w:r>
      <w:r>
        <w:br/>
      </w:r>
      <w:r>
        <w:rPr>
          <w:rFonts w:ascii="Times New Roman" w:hAnsi="Times New Roman"/>
          <w:b w:val="false"/>
          <w:i w:val="false"/>
          <w:color w:val="000000"/>
          <w:sz w:val="21"/>
        </w:rPr>
        <w:t>OF BENEFIT TO RETAILERS</w:t>
      </w:r>
    </w:p>
    <w:p>
      <w:pPr>
        <w:spacing w:before="0" w:after="0"/>
        <w:ind w:left="120"/>
        <w:jc w:val="both"/>
      </w:pPr>
      <w:r>
        <w:rPr>
          <w:rFonts w:ascii="Times New Roman" w:hAnsi="Times New Roman"/>
          <w:b/>
          <w:i w:val="false"/>
          <w:color w:val="000000"/>
          <w:sz w:val="22"/>
        </w:rPr>
        <w:t>701—225.1</w:t>
      </w:r>
      <w:r>
        <w:rPr>
          <w:rFonts w:ascii="Times New Roman" w:hAnsi="Times New Roman"/>
          <w:b/>
          <w:i w:val="false"/>
          <w:color w:val="000000"/>
          <w:sz w:val="22"/>
        </w:rPr>
        <w:t xml:space="preserve">(423) </w:t>
      </w:r>
      <w:r>
        <w:rPr>
          <w:rFonts w:ascii="Times New Roman" w:hAnsi="Times New Roman"/>
          <w:b/>
          <w:i w:val="false"/>
          <w:color w:val="000000"/>
          <w:sz w:val="22"/>
        </w:rPr>
        <w:t xml:space="preserve">Paper or plastic plates, cups, and dishes; paper napkins; wooden or plastic spoons and forks; and straws. </w:t>
      </w:r>
      <w:r>
        <w:rPr>
          <w:rFonts w:ascii="Times New Roman" w:hAnsi="Times New Roman"/>
          <w:b w:val="false"/>
          <w:i w:val="false"/>
          <w:color w:val="000000"/>
          <w:sz w:val="22"/>
        </w:rPr>
        <w:t>When paper or plastic cups, plates, and dishes, paper napkins, and wooden or plastic spoons, forks, and other utensils are sold with food or other items to a buyer, and the buyer uses or consumes the utensils, sales of those utensils to retailers are considered sales for resale. The sales price from the sale of such items by retailers to consumers or users is subject to tax.</w:t>
      </w:r>
    </w:p>
    <w:p>
      <w:pPr>
        <w:spacing w:before="0" w:after="0"/>
        <w:ind w:left="120"/>
        <w:jc w:val="both"/>
      </w:pPr>
      <w:r>
        <w:rPr>
          <w:rFonts w:ascii="Times New Roman" w:hAnsi="Times New Roman"/>
          <w:b w:val="false"/>
          <w:i w:val="false"/>
          <w:color w:val="000000"/>
          <w:sz w:val="22"/>
        </w:rPr>
        <w:t>When these articles are transferred in connection with a service or sold for free distribution by retailers apart from a retail sale, the transaction is deemed to be a retail sale to the retailer and therefore is taxable.</w:t>
      </w:r>
    </w:p>
    <w:p>
      <w:pPr>
        <w:spacing w:before="0" w:after="0"/>
        <w:ind w:left="120"/>
        <w:jc w:val="both"/>
      </w:pPr>
      <w:r>
        <w:rPr>
          <w:rFonts w:ascii="Times New Roman" w:hAnsi="Times New Roman"/>
          <w:b w:val="false"/>
          <w:i w:val="false"/>
          <w:color w:val="000000"/>
          <w:sz w:val="22"/>
        </w:rPr>
        <w:t>Sales of reusable placemats to retailers that sell meals are also subject to tax.</w:t>
      </w:r>
    </w:p>
    <w:p>
      <w:pPr>
        <w:spacing w:before="0" w:after="0"/>
        <w:ind w:left="120"/>
        <w:jc w:val="both"/>
      </w:pPr>
      <w:r>
        <w:rPr>
          <w:rFonts w:ascii="Times New Roman" w:hAnsi="Times New Roman"/>
          <w:b w:val="false"/>
          <w:i w:val="false"/>
          <w:color w:val="000000"/>
          <w:sz w:val="22"/>
        </w:rPr>
        <w:t>EXAMPLE 1:</w:t>
      </w:r>
      <w:r>
        <w:rPr>
          <w:rFonts w:ascii="Times New Roman" w:hAnsi="Times New Roman"/>
          <w:b w:val="false"/>
          <w:i w:val="false"/>
          <w:color w:val="000000"/>
          <w:sz w:val="22"/>
        </w:rPr>
        <w:t xml:space="preserve"> A retailer purchases napkins and disposable forks and knives for the retailer’s restaurant. The retailer provides these items free of charge, apart from the retail sale of food at the retailer’s restaurant. Sale of these items to the retailer is a retail sale and is subject to tax.</w:t>
      </w:r>
    </w:p>
    <w:p>
      <w:pPr>
        <w:spacing w:before="0" w:after="0"/>
        <w:ind w:left="120"/>
        <w:jc w:val="both"/>
      </w:pPr>
      <w:r>
        <w:rPr>
          <w:rFonts w:ascii="Times New Roman" w:hAnsi="Times New Roman"/>
          <w:b w:val="false"/>
          <w:i w:val="false"/>
          <w:color w:val="000000"/>
          <w:sz w:val="22"/>
        </w:rPr>
        <w:t>EXAMPLE 2:</w:t>
      </w:r>
      <w:r>
        <w:rPr>
          <w:rFonts w:ascii="Times New Roman" w:hAnsi="Times New Roman"/>
          <w:b w:val="false"/>
          <w:i w:val="false"/>
          <w:color w:val="000000"/>
          <w:sz w:val="22"/>
        </w:rPr>
        <w:t xml:space="preserve"> A retailer purchases napkins and disposable forks and knives for the retailer’s restaurant. The retailer sells these items with tangible personal property to the retailer’s customers. The sale of these items to the retailer is considered a sale for resale and is not subject to Iowa sales tax at the time of purchase.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
        <w:r>
          <w:rPr>
            <w:rStyle w:val="Hyperlink"/>
            <w:rFonts w:ascii="Times New Roman" w:hAnsi="Times New Roman"/>
            <w:b w:val="false"/>
            <w:i w:val="false"/>
            <w:color w:val="000000"/>
            <w:sz w:val="22"/>
          </w:rPr>
          <w:t>423.3(2)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8164C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701—225.2</w:t>
      </w:r>
      <w:r>
        <w:rPr>
          <w:rFonts w:ascii="Times New Roman" w:hAnsi="Times New Roman"/>
          <w:b/>
          <w:i w:val="false"/>
          <w:color w:val="000000"/>
          <w:sz w:val="22"/>
        </w:rPr>
        <w:t xml:space="preserve">(423) </w:t>
      </w:r>
      <w:r>
        <w:rPr>
          <w:rFonts w:ascii="Times New Roman" w:hAnsi="Times New Roman"/>
          <w:b/>
          <w:i w:val="false"/>
          <w:color w:val="000000"/>
          <w:sz w:val="22"/>
        </w:rPr>
        <w:t xml:space="preserve">Services used in the repair or reconditioning of certain tangible personal property. </w:t>
      </w:r>
      <w:r>
        <w:rPr>
          <w:rFonts w:ascii="Times New Roman" w:hAnsi="Times New Roman"/>
          <w:b w:val="false"/>
          <w:i w:val="false"/>
          <w:color w:val="000000"/>
          <w:sz w:val="22"/>
        </w:rPr>
        <w:t>Services are exempt from tax when used in the reconditioning or repairing of tangible personal property of the type that is normally sold in the regular course of the retailer’s business and that is held for sale by the retailer.</w:t>
      </w:r>
    </w:p>
    <w:p>
      <w:pPr>
        <w:spacing w:before="0" w:after="0"/>
        <w:ind w:left="120"/>
        <w:jc w:val="both"/>
      </w:pPr>
      <w:r>
        <w:rPr>
          <w:rFonts w:ascii="Times New Roman" w:hAnsi="Times New Roman"/>
          <w:b w:val="false"/>
          <w:i w:val="false"/>
          <w:color w:val="000000"/>
          <w:sz w:val="22"/>
        </w:rPr>
        <w:t>EXAMPLE 1:</w:t>
      </w:r>
      <w:r>
        <w:rPr>
          <w:rFonts w:ascii="Times New Roman" w:hAnsi="Times New Roman"/>
          <w:b w:val="false"/>
          <w:i w:val="false"/>
          <w:color w:val="000000"/>
          <w:sz w:val="22"/>
        </w:rPr>
        <w:t xml:space="preserve"> A owns a retail appliance store and contracts with B to repair a refrigerator that A is going to resell. A can purchase the repair service from B tax-free because A is regularly engaged in selling refrigerators and will offer the refrigerator for sale when it is repaired.</w:t>
      </w:r>
    </w:p>
    <w:p>
      <w:pPr>
        <w:spacing w:before="0" w:after="0"/>
        <w:ind w:left="120"/>
        <w:jc w:val="both"/>
      </w:pPr>
      <w:r>
        <w:rPr>
          <w:rFonts w:ascii="Times New Roman" w:hAnsi="Times New Roman"/>
          <w:b w:val="false"/>
          <w:i w:val="false"/>
          <w:color w:val="000000"/>
          <w:sz w:val="22"/>
        </w:rPr>
        <w:t>EXAMPLE 2:</w:t>
      </w:r>
      <w:r>
        <w:rPr>
          <w:rFonts w:ascii="Times New Roman" w:hAnsi="Times New Roman"/>
          <w:b w:val="false"/>
          <w:i w:val="false"/>
          <w:color w:val="000000"/>
          <w:sz w:val="22"/>
        </w:rPr>
        <w:t xml:space="preserve"> B, a used car dealer, owns a used car lot and contracts with C to repair a used car that B is going to sell. B can purchase the repair service from C tax-free because B is regularly engaged in selling used cars and will sell the used car after it is repaired.</w:t>
      </w:r>
    </w:p>
    <w:p>
      <w:pPr>
        <w:spacing w:before="0" w:after="0"/>
        <w:ind w:left="120"/>
        <w:jc w:val="both"/>
      </w:pPr>
      <w:r>
        <w:rPr>
          <w:rFonts w:ascii="Times New Roman" w:hAnsi="Times New Roman"/>
          <w:b w:val="false"/>
          <w:i w:val="false"/>
          <w:color w:val="000000"/>
          <w:sz w:val="22"/>
        </w:rPr>
        <w:t>EXAMPLE 3:</w:t>
      </w:r>
      <w:r>
        <w:rPr>
          <w:rFonts w:ascii="Times New Roman" w:hAnsi="Times New Roman"/>
          <w:b w:val="false"/>
          <w:i w:val="false"/>
          <w:color w:val="000000"/>
          <w:sz w:val="22"/>
        </w:rPr>
        <w:t xml:space="preserve"> C operates a retail farm implement dealership. C accepts a motorboat as part consideration for a piece of farm equipment. C then contracts with D to repair the motor on the boat. C does not normally sell motorboats in the regular course of C’s business. Therefore, the service performed by D for C is subject to tax.</w:t>
      </w:r>
    </w:p>
    <w:p>
      <w:pPr>
        <w:spacing w:before="0" w:after="0"/>
        <w:ind w:left="120"/>
        <w:jc w:val="both"/>
      </w:pPr>
      <w:r>
        <w:rPr>
          <w:rFonts w:ascii="Times New Roman" w:hAnsi="Times New Roman"/>
          <w:b w:val="false"/>
          <w:i w:val="false"/>
          <w:color w:val="000000"/>
          <w:sz w:val="22"/>
        </w:rPr>
        <w:t>EXAMPLE 4:</w:t>
      </w:r>
      <w:r>
        <w:rPr>
          <w:rFonts w:ascii="Times New Roman" w:hAnsi="Times New Roman"/>
          <w:b w:val="false"/>
          <w:i w:val="false"/>
          <w:color w:val="000000"/>
          <w:sz w:val="22"/>
        </w:rPr>
        <w:t xml:space="preserve"> XYZ owns a retail radio and television store in Iowa and contracts with W to repair a television that XYZ is going to sell. XYZ can purchase television repair service tax-free from W because XYZ is regularly engaged in selling televisions subject to sales tax. However, in this instance, XYZ sells the used television and delivers it into interstate commerce with the result that the Iowa sales tax is not collectible. Regardless of this fact, the exemption is applicable, and no Iowa tax is due for the television repair services performed.</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5">
        <w:r>
          <w:rPr>
            <w:rStyle w:val="Hyperlink"/>
            <w:rFonts w:ascii="Times New Roman" w:hAnsi="Times New Roman"/>
            <w:b w:val="false"/>
            <w:i w:val="false"/>
            <w:color w:val="000000"/>
            <w:sz w:val="22"/>
          </w:rPr>
          <w:t>423.1(55)</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423.3(50)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8164C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701—225.3</w:t>
      </w:r>
      <w:r>
        <w:rPr>
          <w:rFonts w:ascii="Times New Roman" w:hAnsi="Times New Roman"/>
          <w:b/>
          <w:i w:val="false"/>
          <w:color w:val="000000"/>
          <w:sz w:val="22"/>
        </w:rPr>
        <w:t xml:space="preserve">(423) </w:t>
      </w:r>
      <w:r>
        <w:rPr>
          <w:rFonts w:ascii="Times New Roman" w:hAnsi="Times New Roman"/>
          <w:b/>
          <w:i w:val="false"/>
          <w:color w:val="000000"/>
          <w:sz w:val="22"/>
        </w:rPr>
        <w:t xml:space="preserve">Tangible personal property purchased by a person engaged in the performance of a service. </w:t>
      </w:r>
    </w:p>
    <w:p>
      <w:pPr>
        <w:spacing w:before="0" w:after="0"/>
        <w:ind w:left="120"/>
        <w:jc w:val="both"/>
      </w:pPr>
      <w:r>
        <w:rPr>
          <w:rFonts w:ascii="Times New Roman" w:hAnsi="Times New Roman"/>
          <w:b/>
          <w:i w:val="false"/>
          <w:color w:val="000000"/>
          <w:sz w:val="22"/>
        </w:rPr>
        <w:t>225.3(1)</w:t>
      </w:r>
      <w:r>
        <w:rPr>
          <w:rFonts w:ascii="Times New Roman" w:hAnsi="Times New Roman"/>
          <w:b w:val="false"/>
          <w:i w:val="false"/>
          <w:color w:val="000000"/>
          <w:sz w:val="22"/>
        </w:rPr>
        <w:t> </w:t>
      </w:r>
      <w:r>
        <w:rPr>
          <w:rFonts w:ascii="Times New Roman" w:hAnsi="Times New Roman"/>
          <w:b w:val="false"/>
          <w:i/>
          <w:color w:val="000000"/>
          <w:sz w:val="22"/>
        </w:rPr>
        <w:t xml:space="preserve">In general. </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Tangible personal property purchased by a person engaged in the performance of a service is purchased for resale and not subject to tax if (1) the provider and user of the service intend that a sale of the property will occur, and (2) the property is transferred to the user of the service in connection with the performance of the service in a form or quantity capable of a fixed or definite price value, and (3) the sale is evidenced by a separate charge for the identifiable piece or quantity of property.</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Tangible personal property that is not sold in the manner set forth in </w:t>
      </w:r>
      <w:hyperlink r:id="rId7">
        <w:r>
          <w:rPr>
            <w:rStyle w:val="Hyperlink"/>
            <w:rFonts w:ascii="Times New Roman" w:hAnsi="Times New Roman"/>
            <w:b w:val="false"/>
            <w:i w:val="false"/>
            <w:color w:val="000000"/>
            <w:sz w:val="22"/>
          </w:rPr>
          <w:t>paragraph 225.3(1)</w:t>
        </w:r>
      </w:hyperlink>
      <w:r>
        <w:rPr>
          <w:rFonts w:ascii="Times New Roman" w:hAnsi="Times New Roman"/>
          <w:b w:val="false"/>
          <w:i/>
          <w:color w:val="000000"/>
          <w:sz w:val="22"/>
        </w:rPr>
        <w:t>“a”</w:t>
      </w:r>
      <w:r>
        <w:rPr>
          <w:rFonts w:ascii="Times New Roman" w:hAnsi="Times New Roman"/>
          <w:b w:val="false"/>
          <w:i w:val="false"/>
          <w:color w:val="000000"/>
          <w:sz w:val="22"/>
        </w:rPr>
        <w:t xml:space="preserve"> above is not purchased for resale and thus is subject to tax at the time of purchase by a person engaged in the performance of a service. Such tangible personal property is considered to be consumed by the purchaser who is engaged in the performance of a service, and the person performing the service shall pay tax upon the sale at the time of purchase.</w:t>
      </w:r>
    </w:p>
    <w:p>
      <w:pPr>
        <w:spacing w:before="0" w:after="0"/>
        <w:ind w:left="120"/>
        <w:jc w:val="both"/>
      </w:pPr>
      <w:r>
        <w:rPr>
          <w:rFonts w:ascii="Times New Roman" w:hAnsi="Times New Roman"/>
          <w:b w:val="false"/>
          <w:i w:val="false"/>
          <w:color w:val="000000"/>
          <w:sz w:val="22"/>
        </w:rPr>
        <w:t>EXAMPLE 1:</w:t>
      </w:r>
      <w:r>
        <w:rPr>
          <w:rFonts w:ascii="Times New Roman" w:hAnsi="Times New Roman"/>
          <w:b w:val="false"/>
          <w:i w:val="false"/>
          <w:color w:val="000000"/>
          <w:sz w:val="22"/>
        </w:rPr>
        <w:t xml:space="preserve"> An investment counselor purchases envelopes. These envelopes are used to send out monthly reports to the investment counselor’s clients regarding the clients’ accounts. Tax is due at the time the investment counselor purchases the envelopes if the clients are not billed for these items. Each envelope is transferred to a client in a form or quantity that is capable of a fixed or definite price value. However, there must also be an actual sale to the client (customer) of an item of personal property in order that there be a “resale” of the item.</w:t>
      </w:r>
    </w:p>
    <w:p>
      <w:pPr>
        <w:spacing w:before="0" w:after="0"/>
        <w:ind w:left="120"/>
        <w:jc w:val="both"/>
      </w:pPr>
      <w:r>
        <w:rPr>
          <w:rFonts w:ascii="Times New Roman" w:hAnsi="Times New Roman"/>
          <w:b w:val="false"/>
          <w:i w:val="false"/>
          <w:color w:val="000000"/>
          <w:sz w:val="22"/>
        </w:rPr>
        <w:t>EXAMPLE 2:</w:t>
      </w:r>
      <w:r>
        <w:rPr>
          <w:rFonts w:ascii="Times New Roman" w:hAnsi="Times New Roman"/>
          <w:b w:val="false"/>
          <w:i w:val="false"/>
          <w:color w:val="000000"/>
          <w:sz w:val="22"/>
        </w:rPr>
        <w:t xml:space="preserve"> A retailer purchases television power supplies tax-free and makes a separate charge for the power supply to the customer. Since the power supply is transferred to the customer in a form or quantity capable of a fixed or definite price value, the retailer may purchase the power supply exempt from tax for subsequent resale.</w:t>
      </w:r>
    </w:p>
    <w:p>
      <w:pPr>
        <w:spacing w:before="0" w:after="0"/>
        <w:ind w:left="120"/>
        <w:jc w:val="both"/>
      </w:pPr>
      <w:r>
        <w:rPr>
          <w:rFonts w:ascii="Times New Roman" w:hAnsi="Times New Roman"/>
          <w:b w:val="false"/>
          <w:i w:val="false"/>
          <w:color w:val="000000"/>
          <w:sz w:val="22"/>
        </w:rPr>
        <w:t>EXAMPLE 3:</w:t>
      </w:r>
      <w:r>
        <w:rPr>
          <w:rFonts w:ascii="Times New Roman" w:hAnsi="Times New Roman"/>
          <w:b w:val="false"/>
          <w:i w:val="false"/>
          <w:color w:val="000000"/>
          <w:sz w:val="22"/>
        </w:rPr>
        <w:t xml:space="preserve"> A beauty shop purchases shampoo and other items to be used in the performance of the shop’s service. Tax is due at the time the beauty shop purchases such items from the shop’s supplier because the customers of the beauty shop are not separately billed for the items and because the items are not transferred to the customer in a form or quantity capable of a fixed or definite price value. The items are consumed by the beauty shop.</w:t>
      </w:r>
    </w:p>
    <w:p>
      <w:pPr>
        <w:spacing w:before="0" w:after="0"/>
        <w:ind w:left="120"/>
        <w:jc w:val="both"/>
      </w:pPr>
      <w:r>
        <w:rPr>
          <w:rFonts w:ascii="Times New Roman" w:hAnsi="Times New Roman"/>
          <w:b w:val="false"/>
          <w:i w:val="false"/>
          <w:color w:val="000000"/>
          <w:sz w:val="22"/>
        </w:rPr>
        <w:t>EXAMPLE 4:</w:t>
      </w:r>
      <w:r>
        <w:rPr>
          <w:rFonts w:ascii="Times New Roman" w:hAnsi="Times New Roman"/>
          <w:b w:val="false"/>
          <w:i w:val="false"/>
          <w:color w:val="000000"/>
          <w:sz w:val="22"/>
        </w:rPr>
        <w:t xml:space="preserve"> An accounting firm purchases plastic binders that are used to cover the reports issued to the firm’s customers. These binders would be subject to tax at the time of purchase by the firm where the customer of the firm is not billed for the item, because there is no sale to the customer.</w:t>
      </w:r>
    </w:p>
    <w:p>
      <w:pPr>
        <w:spacing w:before="0" w:after="0"/>
        <w:ind w:left="120"/>
        <w:jc w:val="both"/>
      </w:pPr>
      <w:r>
        <w:rPr>
          <w:rFonts w:ascii="Times New Roman" w:hAnsi="Times New Roman"/>
          <w:b w:val="false"/>
          <w:i w:val="false"/>
          <w:color w:val="000000"/>
          <w:sz w:val="22"/>
        </w:rPr>
        <w:t>EXAMPLE 5:</w:t>
      </w:r>
      <w:r>
        <w:rPr>
          <w:rFonts w:ascii="Times New Roman" w:hAnsi="Times New Roman"/>
          <w:b w:val="false"/>
          <w:i w:val="false"/>
          <w:color w:val="000000"/>
          <w:sz w:val="22"/>
        </w:rPr>
        <w:t xml:space="preserve"> A meat locker purchases materials, such as wrapping paper and tape, that the meat locker uses to wrap meat for customers who provide the locker with the meat. These materials would be subject to tax at the time of purchase by the meat locker because the materials are not sold to the customer in a form or quantity capable of a fixed or definite price value.</w:t>
      </w:r>
    </w:p>
    <w:p>
      <w:pPr>
        <w:spacing w:before="0" w:after="0"/>
        <w:ind w:left="120"/>
        <w:jc w:val="both"/>
      </w:pPr>
      <w:r>
        <w:rPr>
          <w:rFonts w:ascii="Times New Roman" w:hAnsi="Times New Roman"/>
          <w:b w:val="false"/>
          <w:i w:val="false"/>
          <w:color w:val="000000"/>
          <w:sz w:val="22"/>
        </w:rPr>
        <w:t>EXAMPLE 6:</w:t>
      </w:r>
      <w:r>
        <w:rPr>
          <w:rFonts w:ascii="Times New Roman" w:hAnsi="Times New Roman"/>
          <w:b w:val="false"/>
          <w:i w:val="false"/>
          <w:color w:val="000000"/>
          <w:sz w:val="22"/>
        </w:rPr>
        <w:t xml:space="preserve"> A jeweler purchases materials, such as main springs and crystals, to be used in the performance of a service. These items are purchased by the jeweler for resale when the items are transferred to the customer in a form or quantity capable of a fixed or definite price value, and each item is actually sold to the customer as evidenced by a separate charge therefor.</w:t>
      </w:r>
    </w:p>
    <w:p>
      <w:pPr>
        <w:spacing w:before="0" w:after="0"/>
        <w:ind w:left="120"/>
        <w:jc w:val="both"/>
      </w:pPr>
      <w:r>
        <w:rPr>
          <w:rFonts w:ascii="Times New Roman" w:hAnsi="Times New Roman"/>
          <w:b w:val="false"/>
          <w:i w:val="false"/>
          <w:color w:val="000000"/>
          <w:sz w:val="22"/>
        </w:rPr>
        <w:t>EXAMPLE 7:</w:t>
      </w:r>
      <w:r>
        <w:rPr>
          <w:rFonts w:ascii="Times New Roman" w:hAnsi="Times New Roman"/>
          <w:b w:val="false"/>
          <w:i w:val="false"/>
          <w:color w:val="000000"/>
          <w:sz w:val="22"/>
        </w:rPr>
        <w:t xml:space="preserve"> A lawn care service applies fertilizer, herbicides, and pesticides to the lawn care service’s customers’ lawns. The following are examples of invoices to customers that are suitable to indicate a lawn care service’s purchase of the fertilizer, herbicides, and pesticides for resale to those customers: “Chemicals...31 Gal....$60”; “Fertilizer...50 lbs....$100”; and “Materials applied to lawn...4 bushel...$40.” The following are examples of information placed upon an invoice that would not indicate a purchase for resale to the customers invoiced: “Fifty percent of the charge for this service is for materials placed on a lawn,” or “Lawn chemicals...$30” or “Fifty pounds of fertilizer was applied to this lawn.”</w:t>
      </w:r>
    </w:p>
    <w:p>
      <w:pPr>
        <w:spacing w:before="0" w:after="0"/>
        <w:ind w:left="120"/>
        <w:jc w:val="both"/>
      </w:pPr>
      <w:r>
        <w:rPr>
          <w:rFonts w:ascii="Times New Roman" w:hAnsi="Times New Roman"/>
          <w:b/>
          <w:i w:val="false"/>
          <w:color w:val="000000"/>
          <w:sz w:val="22"/>
        </w:rPr>
        <w:t>225.3(2)</w:t>
      </w:r>
      <w:r>
        <w:rPr>
          <w:rFonts w:ascii="Times New Roman" w:hAnsi="Times New Roman"/>
          <w:b w:val="false"/>
          <w:i w:val="false"/>
          <w:color w:val="000000"/>
          <w:sz w:val="22"/>
        </w:rPr>
        <w:t> </w:t>
      </w:r>
      <w:r>
        <w:rPr>
          <w:rFonts w:ascii="Times New Roman" w:hAnsi="Times New Roman"/>
          <w:b w:val="false"/>
          <w:i/>
          <w:color w:val="000000"/>
          <w:sz w:val="22"/>
        </w:rPr>
        <w:t xml:space="preserve">Purchases made by automobile body shops or garages with body shops. </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Chemicals, solvents, sorbents, and reagents. </w:t>
      </w:r>
      <w:r>
        <w:rPr>
          <w:rFonts w:ascii="Times New Roman" w:hAnsi="Times New Roman"/>
          <w:b w:val="false"/>
          <w:i w:val="false"/>
          <w:color w:val="000000"/>
          <w:sz w:val="22"/>
        </w:rPr>
        <w:t xml:space="preserve">Body shops may make exempt purchases of qualifying chemicals, solvents, sorbents, reagents, and other tangible personal property used in a vehicle repair service. Iowa Code section </w:t>
      </w:r>
      <w:hyperlink r:id="rId8">
        <w:r>
          <w:rPr>
            <w:rStyle w:val="Hyperlink"/>
            <w:rFonts w:ascii="Times New Roman" w:hAnsi="Times New Roman"/>
            <w:b w:val="false"/>
            <w:i w:val="false"/>
            <w:color w:val="000000"/>
            <w:sz w:val="22"/>
          </w:rPr>
          <w:t>423.3(99)</w:t>
        </w:r>
      </w:hyperlink>
      <w:r>
        <w:rPr>
          <w:rFonts w:ascii="Times New Roman" w:hAnsi="Times New Roman"/>
          <w:b w:val="false"/>
          <w:i w:val="false"/>
          <w:color w:val="000000"/>
          <w:sz w:val="22"/>
        </w:rPr>
        <w:t xml:space="preserve"> contains more information on the conditions that must be met to qualify for this exemption. </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Purchase for resale. </w:t>
      </w:r>
      <w:r>
        <w:rPr>
          <w:rFonts w:ascii="Times New Roman" w:hAnsi="Times New Roman"/>
          <w:b w:val="false"/>
          <w:i w:val="false"/>
          <w:color w:val="000000"/>
          <w:sz w:val="22"/>
        </w:rPr>
        <w:t>Tangible personal property purchased by body shops can be purchased for resale provided both of the following conditions are met:</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The property purchased for resale is actually transferred to the body shop’s customer by becoming an ingredient or component part of the repair work. More information is contained in Iowa Code section </w:t>
      </w:r>
      <w:hyperlink r:id="rId9">
        <w:r>
          <w:rPr>
            <w:rStyle w:val="Hyperlink"/>
            <w:rFonts w:ascii="Times New Roman" w:hAnsi="Times New Roman"/>
            <w:b w:val="false"/>
            <w:i w:val="false"/>
            <w:color w:val="000000"/>
            <w:sz w:val="22"/>
          </w:rPr>
          <w:t>423.3(2)</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property purchased for resale is itemized as a separate item on the invoice to the body shop’s customer and is transferred to the customer in a form or quantity capable of a fixed or definite price value.</w:t>
      </w:r>
    </w:p>
    <w:p>
      <w:pPr>
        <w:spacing w:before="0" w:after="0"/>
        <w:ind w:left="120"/>
        <w:jc w:val="both"/>
      </w:pPr>
      <w:r>
        <w:rPr>
          <w:rFonts w:ascii="Times New Roman" w:hAnsi="Times New Roman"/>
          <w:b w:val="false"/>
          <w:i w:val="false"/>
          <w:color w:val="000000"/>
          <w:sz w:val="22"/>
        </w:rPr>
        <w:t>If either of the above two conditions is not met, there is no purchase for resale and the body shop is deemed the consumer of the item purchased.</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Exemption certificates. </w:t>
      </w:r>
      <w:r>
        <w:rPr>
          <w:rFonts w:ascii="Times New Roman" w:hAnsi="Times New Roman"/>
          <w:b w:val="false"/>
          <w:i w:val="false"/>
          <w:color w:val="000000"/>
          <w:sz w:val="22"/>
        </w:rPr>
        <w:t>When body shops purchase items that will be resold (detailed list below) in the course of the repair activity or otherwise exempt, the vendors selling to the body shops are encouraged to accept a valid exemption certificate at the time of purchase. Failure of the vendor to accept a valid exemption certificate may subject that vendor to sales tax liability since the burden of proof would be on the vendor that a sale was made for resale. If the vendor cannot meet that burden, the vendor will be liable for the sales tax. Such burden is not met merely by a showing that the purchaser had obtained from the department an Iowa retail sales tax permit or retail use tax permit.</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Parts purchased for resale. </w:t>
      </w:r>
      <w:r>
        <w:rPr>
          <w:rFonts w:ascii="Times New Roman" w:hAnsi="Times New Roman"/>
          <w:b w:val="false"/>
          <w:i w:val="false"/>
          <w:color w:val="000000"/>
          <w:sz w:val="22"/>
        </w:rPr>
        <w:t>The following are nonexclusive examples of parts which can be purchased for resale since they are generally transferred to the body shop’s customer during the course of the repair in a form or quantity capable of a fixed or definite price value and are generally itemized separately as parts:</w:t>
      </w:r>
    </w:p>
    <w:p>
      <w:pPr>
        <w:spacing w:before="0" w:after="0"/>
        <w:ind w:left="120"/>
        <w:jc w:val="both"/>
      </w:pPr>
      <w:r>
        <w:rPr>
          <w:rFonts w:ascii="Times New Roman" w:hAnsi="Times New Roman"/>
          <w:b w:val="false"/>
          <w:i w:val="false"/>
          <w:color w:val="000000"/>
          <w:sz w:val="22"/>
        </w:rPr>
        <w:t>Accessories</w:t>
      </w:r>
    </w:p>
    <w:p>
      <w:pPr>
        <w:spacing w:before="0" w:after="0"/>
        <w:ind w:left="120"/>
        <w:jc w:val="both"/>
      </w:pPr>
      <w:r>
        <w:rPr>
          <w:rFonts w:ascii="Times New Roman" w:hAnsi="Times New Roman"/>
          <w:b w:val="false"/>
          <w:i w:val="false"/>
          <w:color w:val="000000"/>
          <w:sz w:val="22"/>
        </w:rPr>
        <w:t>Batteries</w:t>
      </w:r>
    </w:p>
    <w:p>
      <w:pPr>
        <w:spacing w:before="0" w:after="0"/>
        <w:ind w:left="120"/>
        <w:jc w:val="both"/>
      </w:pPr>
      <w:r>
        <w:rPr>
          <w:rFonts w:ascii="Times New Roman" w:hAnsi="Times New Roman"/>
          <w:b w:val="false"/>
          <w:i w:val="false"/>
          <w:color w:val="000000"/>
          <w:sz w:val="22"/>
        </w:rPr>
        <w:t>Brackets</w:t>
      </w:r>
    </w:p>
    <w:p>
      <w:pPr>
        <w:spacing w:before="0" w:after="0"/>
        <w:ind w:left="120"/>
        <w:jc w:val="both"/>
      </w:pPr>
      <w:r>
        <w:rPr>
          <w:rFonts w:ascii="Times New Roman" w:hAnsi="Times New Roman"/>
          <w:b w:val="false"/>
          <w:i w:val="false"/>
          <w:color w:val="000000"/>
          <w:sz w:val="22"/>
        </w:rPr>
        <w:t>Bulbs</w:t>
      </w:r>
    </w:p>
    <w:p>
      <w:pPr>
        <w:spacing w:before="0" w:after="0"/>
        <w:ind w:left="120"/>
        <w:jc w:val="both"/>
      </w:pPr>
      <w:r>
        <w:rPr>
          <w:rFonts w:ascii="Times New Roman" w:hAnsi="Times New Roman"/>
          <w:b w:val="false"/>
          <w:i w:val="false"/>
          <w:color w:val="000000"/>
          <w:sz w:val="22"/>
        </w:rPr>
        <w:t>Bumpers</w:t>
      </w:r>
    </w:p>
    <w:p>
      <w:pPr>
        <w:spacing w:before="0" w:after="0"/>
        <w:ind w:left="120"/>
        <w:jc w:val="both"/>
      </w:pPr>
      <w:r>
        <w:rPr>
          <w:rFonts w:ascii="Times New Roman" w:hAnsi="Times New Roman"/>
          <w:b w:val="false"/>
          <w:i w:val="false"/>
          <w:color w:val="000000"/>
          <w:sz w:val="22"/>
        </w:rPr>
        <w:t>Cab corners</w:t>
      </w:r>
    </w:p>
    <w:p>
      <w:pPr>
        <w:spacing w:before="0" w:after="0"/>
        <w:ind w:left="120"/>
        <w:jc w:val="both"/>
      </w:pPr>
      <w:r>
        <w:rPr>
          <w:rFonts w:ascii="Times New Roman" w:hAnsi="Times New Roman"/>
          <w:b w:val="false"/>
          <w:i w:val="false"/>
          <w:color w:val="000000"/>
          <w:sz w:val="22"/>
        </w:rPr>
        <w:t>Chassis parts</w:t>
      </w:r>
    </w:p>
    <w:p>
      <w:pPr>
        <w:spacing w:before="0" w:after="0"/>
        <w:ind w:left="120"/>
        <w:jc w:val="both"/>
      </w:pPr>
      <w:r>
        <w:rPr>
          <w:rFonts w:ascii="Times New Roman" w:hAnsi="Times New Roman"/>
          <w:b w:val="false"/>
          <w:i w:val="false"/>
          <w:color w:val="000000"/>
          <w:sz w:val="22"/>
        </w:rPr>
        <w:t>Door guards</w:t>
      </w:r>
    </w:p>
    <w:p>
      <w:pPr>
        <w:spacing w:before="0" w:after="0"/>
        <w:ind w:left="120"/>
        <w:jc w:val="both"/>
      </w:pPr>
      <w:r>
        <w:rPr>
          <w:rFonts w:ascii="Times New Roman" w:hAnsi="Times New Roman"/>
          <w:b w:val="false"/>
          <w:i w:val="false"/>
          <w:color w:val="000000"/>
          <w:sz w:val="22"/>
        </w:rPr>
        <w:t>Door handles</w:t>
      </w:r>
    </w:p>
    <w:p>
      <w:pPr>
        <w:spacing w:before="0" w:after="0"/>
        <w:ind w:left="120"/>
        <w:jc w:val="both"/>
      </w:pPr>
      <w:r>
        <w:rPr>
          <w:rFonts w:ascii="Times New Roman" w:hAnsi="Times New Roman"/>
          <w:b w:val="false"/>
          <w:i w:val="false"/>
          <w:color w:val="000000"/>
          <w:sz w:val="22"/>
        </w:rPr>
        <w:t>Doors</w:t>
      </w:r>
    </w:p>
    <w:p>
      <w:pPr>
        <w:spacing w:before="0" w:after="0"/>
        <w:ind w:left="120"/>
        <w:jc w:val="both"/>
      </w:pPr>
      <w:r>
        <w:rPr>
          <w:rFonts w:ascii="Times New Roman" w:hAnsi="Times New Roman"/>
          <w:b w:val="false"/>
          <w:i w:val="false"/>
          <w:color w:val="000000"/>
          <w:sz w:val="22"/>
        </w:rPr>
        <w:t>Engine parts</w:t>
      </w:r>
    </w:p>
    <w:p>
      <w:pPr>
        <w:spacing w:before="0" w:after="0"/>
        <w:ind w:left="120"/>
        <w:jc w:val="both"/>
      </w:pPr>
      <w:r>
        <w:rPr>
          <w:rFonts w:ascii="Times New Roman" w:hAnsi="Times New Roman"/>
          <w:b w:val="false"/>
          <w:i w:val="false"/>
          <w:color w:val="000000"/>
          <w:sz w:val="22"/>
        </w:rPr>
        <w:t>Fenders</w:t>
      </w:r>
    </w:p>
    <w:p>
      <w:pPr>
        <w:spacing w:before="0" w:after="0"/>
        <w:ind w:left="120"/>
        <w:jc w:val="both"/>
      </w:pPr>
      <w:r>
        <w:rPr>
          <w:rFonts w:ascii="Times New Roman" w:hAnsi="Times New Roman"/>
          <w:b w:val="false"/>
          <w:i w:val="false"/>
          <w:color w:val="000000"/>
          <w:sz w:val="22"/>
        </w:rPr>
        <w:t>Floor mats</w:t>
      </w:r>
    </w:p>
    <w:p>
      <w:pPr>
        <w:spacing w:before="0" w:after="0"/>
        <w:ind w:left="120"/>
        <w:jc w:val="both"/>
      </w:pPr>
      <w:r>
        <w:rPr>
          <w:rFonts w:ascii="Times New Roman" w:hAnsi="Times New Roman"/>
          <w:b w:val="false"/>
          <w:i w:val="false"/>
          <w:color w:val="000000"/>
          <w:sz w:val="22"/>
        </w:rPr>
        <w:t>Grilles</w:t>
      </w:r>
    </w:p>
    <w:p>
      <w:pPr>
        <w:spacing w:before="0" w:after="0"/>
        <w:ind w:left="120"/>
        <w:jc w:val="both"/>
      </w:pPr>
      <w:r>
        <w:rPr>
          <w:rFonts w:ascii="Times New Roman" w:hAnsi="Times New Roman"/>
          <w:b w:val="false"/>
          <w:i w:val="false"/>
          <w:color w:val="000000"/>
          <w:sz w:val="22"/>
        </w:rPr>
        <w:t>Headlamps</w:t>
      </w:r>
    </w:p>
    <w:p>
      <w:pPr>
        <w:spacing w:before="0" w:after="0"/>
        <w:ind w:left="120"/>
        <w:jc w:val="both"/>
      </w:pPr>
      <w:r>
        <w:rPr>
          <w:rFonts w:ascii="Times New Roman" w:hAnsi="Times New Roman"/>
          <w:b w:val="false"/>
          <w:i w:val="false"/>
          <w:color w:val="000000"/>
          <w:sz w:val="22"/>
        </w:rPr>
        <w:t>Hoods</w:t>
      </w:r>
    </w:p>
    <w:p>
      <w:pPr>
        <w:spacing w:before="0" w:after="0"/>
        <w:ind w:left="120"/>
        <w:jc w:val="both"/>
      </w:pPr>
      <w:r>
        <w:rPr>
          <w:rFonts w:ascii="Times New Roman" w:hAnsi="Times New Roman"/>
          <w:b w:val="false"/>
          <w:i w:val="false"/>
          <w:color w:val="000000"/>
          <w:sz w:val="22"/>
        </w:rPr>
        <w:t>Hubcaps</w:t>
      </w:r>
    </w:p>
    <w:p>
      <w:pPr>
        <w:spacing w:before="0" w:after="0"/>
        <w:ind w:left="120"/>
        <w:jc w:val="both"/>
      </w:pPr>
      <w:r>
        <w:rPr>
          <w:rFonts w:ascii="Times New Roman" w:hAnsi="Times New Roman"/>
          <w:b w:val="false"/>
          <w:i w:val="false"/>
          <w:color w:val="000000"/>
          <w:sz w:val="22"/>
        </w:rPr>
        <w:t>Radiators</w:t>
      </w:r>
    </w:p>
    <w:p>
      <w:pPr>
        <w:spacing w:before="0" w:after="0"/>
        <w:ind w:left="120"/>
        <w:jc w:val="both"/>
      </w:pPr>
      <w:r>
        <w:rPr>
          <w:rFonts w:ascii="Times New Roman" w:hAnsi="Times New Roman"/>
          <w:b w:val="false"/>
          <w:i w:val="false"/>
          <w:color w:val="000000"/>
          <w:sz w:val="22"/>
        </w:rPr>
        <w:t>Rocker panels</w:t>
      </w:r>
    </w:p>
    <w:p>
      <w:pPr>
        <w:spacing w:before="0" w:after="0"/>
        <w:ind w:left="120"/>
        <w:jc w:val="both"/>
      </w:pPr>
      <w:r>
        <w:rPr>
          <w:rFonts w:ascii="Times New Roman" w:hAnsi="Times New Roman"/>
          <w:b w:val="false"/>
          <w:i w:val="false"/>
          <w:color w:val="000000"/>
          <w:sz w:val="22"/>
        </w:rPr>
        <w:t>Shock absorbers</w:t>
      </w:r>
    </w:p>
    <w:p>
      <w:pPr>
        <w:spacing w:before="0" w:after="0"/>
        <w:ind w:left="120"/>
        <w:jc w:val="both"/>
      </w:pPr>
      <w:r>
        <w:rPr>
          <w:rFonts w:ascii="Times New Roman" w:hAnsi="Times New Roman"/>
          <w:b w:val="false"/>
          <w:i w:val="false"/>
          <w:color w:val="000000"/>
          <w:sz w:val="22"/>
        </w:rPr>
        <w:t>Side molding</w:t>
      </w:r>
    </w:p>
    <w:p>
      <w:pPr>
        <w:spacing w:before="0" w:after="0"/>
        <w:ind w:left="120"/>
        <w:jc w:val="both"/>
      </w:pPr>
      <w:r>
        <w:rPr>
          <w:rFonts w:ascii="Times New Roman" w:hAnsi="Times New Roman"/>
          <w:b w:val="false"/>
          <w:i w:val="false"/>
          <w:color w:val="000000"/>
          <w:sz w:val="22"/>
        </w:rPr>
        <w:t>Spark plugs</w:t>
      </w:r>
    </w:p>
    <w:p>
      <w:pPr>
        <w:spacing w:before="0" w:after="0"/>
        <w:ind w:left="120"/>
        <w:jc w:val="both"/>
      </w:pPr>
      <w:r>
        <w:rPr>
          <w:rFonts w:ascii="Times New Roman" w:hAnsi="Times New Roman"/>
          <w:b w:val="false"/>
          <w:i w:val="false"/>
          <w:color w:val="000000"/>
          <w:sz w:val="22"/>
        </w:rPr>
        <w:t>Tires</w:t>
      </w:r>
    </w:p>
    <w:p>
      <w:pPr>
        <w:spacing w:before="0" w:after="0"/>
        <w:ind w:left="120"/>
        <w:jc w:val="both"/>
      </w:pPr>
      <w:r>
        <w:rPr>
          <w:rFonts w:ascii="Times New Roman" w:hAnsi="Times New Roman"/>
          <w:b w:val="false"/>
          <w:i w:val="false"/>
          <w:color w:val="000000"/>
          <w:sz w:val="22"/>
        </w:rPr>
        <w:t>Trim</w:t>
      </w:r>
    </w:p>
    <w:p>
      <w:pPr>
        <w:spacing w:before="0" w:after="0"/>
        <w:ind w:left="120"/>
        <w:jc w:val="both"/>
      </w:pPr>
      <w:r>
        <w:rPr>
          <w:rFonts w:ascii="Times New Roman" w:hAnsi="Times New Roman"/>
          <w:b w:val="false"/>
          <w:i w:val="false"/>
          <w:color w:val="000000"/>
          <w:sz w:val="22"/>
        </w:rPr>
        <w:t>Trunk lids</w:t>
      </w:r>
    </w:p>
    <w:p>
      <w:pPr>
        <w:spacing w:before="0" w:after="0"/>
        <w:ind w:left="120"/>
        <w:jc w:val="both"/>
      </w:pPr>
      <w:r>
        <w:rPr>
          <w:rFonts w:ascii="Times New Roman" w:hAnsi="Times New Roman"/>
          <w:b w:val="false"/>
          <w:i w:val="false"/>
          <w:color w:val="000000"/>
          <w:sz w:val="22"/>
        </w:rPr>
        <w:t>Wheels</w:t>
      </w:r>
    </w:p>
    <w:p>
      <w:pPr>
        <w:spacing w:before="0" w:after="0"/>
        <w:ind w:left="120"/>
        <w:jc w:val="both"/>
      </w:pPr>
      <w:r>
        <w:rPr>
          <w:rFonts w:ascii="Times New Roman" w:hAnsi="Times New Roman"/>
          <w:b w:val="false"/>
          <w:i w:val="false"/>
          <w:color w:val="000000"/>
          <w:sz w:val="22"/>
        </w:rPr>
        <w:t>Window glass</w:t>
      </w:r>
    </w:p>
    <w:p>
      <w:pPr>
        <w:spacing w:before="0" w:after="0"/>
        <w:ind w:left="120"/>
        <w:jc w:val="both"/>
      </w:pPr>
      <w:r>
        <w:rPr>
          <w:rFonts w:ascii="Times New Roman" w:hAnsi="Times New Roman"/>
          <w:b w:val="false"/>
          <w:i w:val="false"/>
          <w:color w:val="000000"/>
          <w:sz w:val="22"/>
        </w:rPr>
        <w:t>Windshield ribbon</w:t>
      </w:r>
    </w:p>
    <w:p>
      <w:pPr>
        <w:spacing w:before="0" w:after="0"/>
        <w:ind w:left="120"/>
        <w:jc w:val="both"/>
      </w:pPr>
      <w:r>
        <w:rPr>
          <w:rFonts w:ascii="Times New Roman" w:hAnsi="Times New Roman"/>
          <w:b w:val="false"/>
          <w:i w:val="false"/>
          <w:color w:val="000000"/>
          <w:sz w:val="22"/>
        </w:rPr>
        <w:t>Windshields</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Taxable tools and supplies. </w:t>
      </w:r>
      <w:r>
        <w:rPr>
          <w:rFonts w:ascii="Times New Roman" w:hAnsi="Times New Roman"/>
          <w:b w:val="false"/>
          <w:i w:val="false"/>
          <w:color w:val="000000"/>
          <w:sz w:val="22"/>
        </w:rPr>
        <w:t>The following are nonexclusive examples of tools and supplies that are generally not transferred to the body shop’s customer during the course of the repair and, therefore, could not be purchased for resale. The body shop is deemed the consumer of these items since they are not transferred to a customer. Therefore, the body shop must pay tax to the vendor at the time of purchase:</w:t>
      </w:r>
    </w:p>
    <w:p>
      <w:pPr>
        <w:spacing w:before="0" w:after="0"/>
        <w:ind w:left="120"/>
        <w:jc w:val="both"/>
      </w:pPr>
      <w:r>
        <w:rPr>
          <w:rFonts w:ascii="Times New Roman" w:hAnsi="Times New Roman"/>
          <w:b w:val="false"/>
          <w:i w:val="false"/>
          <w:color w:val="000000"/>
          <w:sz w:val="22"/>
        </w:rPr>
        <w:t>Air compressors and parts</w:t>
      </w:r>
    </w:p>
    <w:p>
      <w:pPr>
        <w:spacing w:before="0" w:after="0"/>
        <w:ind w:left="120"/>
        <w:jc w:val="both"/>
      </w:pPr>
      <w:r>
        <w:rPr>
          <w:rFonts w:ascii="Times New Roman" w:hAnsi="Times New Roman"/>
          <w:b w:val="false"/>
          <w:i w:val="false"/>
          <w:color w:val="000000"/>
          <w:sz w:val="22"/>
        </w:rPr>
        <w:t>Body frame straightening equipment</w:t>
      </w:r>
    </w:p>
    <w:p>
      <w:pPr>
        <w:spacing w:before="0" w:after="0"/>
        <w:ind w:left="120"/>
        <w:jc w:val="both"/>
      </w:pPr>
      <w:r>
        <w:rPr>
          <w:rFonts w:ascii="Times New Roman" w:hAnsi="Times New Roman"/>
          <w:b w:val="false"/>
          <w:i w:val="false"/>
          <w:color w:val="000000"/>
          <w:sz w:val="22"/>
        </w:rPr>
        <w:t>Brooms and mops</w:t>
      </w:r>
    </w:p>
    <w:p>
      <w:pPr>
        <w:spacing w:before="0" w:after="0"/>
        <w:ind w:left="120"/>
        <w:jc w:val="both"/>
      </w:pPr>
      <w:r>
        <w:rPr>
          <w:rFonts w:ascii="Times New Roman" w:hAnsi="Times New Roman"/>
          <w:b w:val="false"/>
          <w:i w:val="false"/>
          <w:color w:val="000000"/>
          <w:sz w:val="22"/>
        </w:rPr>
        <w:t>Buffers</w:t>
      </w:r>
    </w:p>
    <w:p>
      <w:pPr>
        <w:spacing w:before="0" w:after="0"/>
        <w:ind w:left="120"/>
        <w:jc w:val="both"/>
      </w:pPr>
      <w:r>
        <w:rPr>
          <w:rFonts w:ascii="Times New Roman" w:hAnsi="Times New Roman"/>
          <w:b w:val="false"/>
          <w:i w:val="false"/>
          <w:color w:val="000000"/>
          <w:sz w:val="22"/>
        </w:rPr>
        <w:t>Chisels</w:t>
      </w:r>
    </w:p>
    <w:p>
      <w:pPr>
        <w:spacing w:before="0" w:after="0"/>
        <w:ind w:left="120"/>
        <w:jc w:val="both"/>
      </w:pPr>
      <w:r>
        <w:rPr>
          <w:rFonts w:ascii="Times New Roman" w:hAnsi="Times New Roman"/>
          <w:b w:val="false"/>
          <w:i w:val="false"/>
          <w:color w:val="000000"/>
          <w:sz w:val="22"/>
        </w:rPr>
        <w:t>Drill bits</w:t>
      </w:r>
    </w:p>
    <w:p>
      <w:pPr>
        <w:spacing w:before="0" w:after="0"/>
        <w:ind w:left="120"/>
        <w:jc w:val="both"/>
      </w:pPr>
      <w:r>
        <w:rPr>
          <w:rFonts w:ascii="Times New Roman" w:hAnsi="Times New Roman"/>
          <w:b w:val="false"/>
          <w:i w:val="false"/>
          <w:color w:val="000000"/>
          <w:sz w:val="22"/>
        </w:rPr>
        <w:t>Drop cords</w:t>
      </w:r>
    </w:p>
    <w:p>
      <w:pPr>
        <w:spacing w:before="0" w:after="0"/>
        <w:ind w:left="120"/>
        <w:jc w:val="both"/>
      </w:pPr>
      <w:r>
        <w:rPr>
          <w:rFonts w:ascii="Times New Roman" w:hAnsi="Times New Roman"/>
          <w:b w:val="false"/>
          <w:i w:val="false"/>
          <w:color w:val="000000"/>
          <w:sz w:val="22"/>
        </w:rPr>
        <w:t>Equipment parts</w:t>
      </w:r>
    </w:p>
    <w:p>
      <w:pPr>
        <w:spacing w:before="0" w:after="0"/>
        <w:ind w:left="120"/>
        <w:jc w:val="both"/>
      </w:pPr>
      <w:r>
        <w:rPr>
          <w:rFonts w:ascii="Times New Roman" w:hAnsi="Times New Roman"/>
          <w:b w:val="false"/>
          <w:i w:val="false"/>
          <w:color w:val="000000"/>
          <w:sz w:val="22"/>
        </w:rPr>
        <w:t>Fire extinguisher fluids</w:t>
      </w:r>
    </w:p>
    <w:p>
      <w:pPr>
        <w:spacing w:before="0" w:after="0"/>
        <w:ind w:left="120"/>
        <w:jc w:val="both"/>
      </w:pPr>
      <w:r>
        <w:rPr>
          <w:rFonts w:ascii="Times New Roman" w:hAnsi="Times New Roman"/>
          <w:b w:val="false"/>
          <w:i w:val="false"/>
          <w:color w:val="000000"/>
          <w:sz w:val="22"/>
        </w:rPr>
        <w:t>Floor jacks</w:t>
      </w:r>
    </w:p>
    <w:p>
      <w:pPr>
        <w:spacing w:before="0" w:after="0"/>
        <w:ind w:left="120"/>
        <w:jc w:val="both"/>
      </w:pPr>
      <w:r>
        <w:rPr>
          <w:rFonts w:ascii="Times New Roman" w:hAnsi="Times New Roman"/>
          <w:b w:val="false"/>
          <w:i w:val="false"/>
          <w:color w:val="000000"/>
          <w:sz w:val="22"/>
        </w:rPr>
        <w:t>Hand soap</w:t>
      </w:r>
    </w:p>
    <w:p>
      <w:pPr>
        <w:spacing w:before="0" w:after="0"/>
        <w:ind w:left="120"/>
        <w:jc w:val="both"/>
      </w:pPr>
      <w:r>
        <w:rPr>
          <w:rFonts w:ascii="Times New Roman" w:hAnsi="Times New Roman"/>
          <w:b w:val="false"/>
          <w:i w:val="false"/>
          <w:color w:val="000000"/>
          <w:sz w:val="22"/>
        </w:rPr>
        <w:t>Hand tools</w:t>
      </w:r>
    </w:p>
    <w:p>
      <w:pPr>
        <w:spacing w:before="0" w:after="0"/>
        <w:ind w:left="120"/>
        <w:jc w:val="both"/>
      </w:pPr>
      <w:r>
        <w:rPr>
          <w:rFonts w:ascii="Times New Roman" w:hAnsi="Times New Roman"/>
          <w:b w:val="false"/>
          <w:i w:val="false"/>
          <w:color w:val="000000"/>
          <w:sz w:val="22"/>
        </w:rPr>
        <w:t>Office supplies</w:t>
      </w:r>
    </w:p>
    <w:p>
      <w:pPr>
        <w:spacing w:before="0" w:after="0"/>
        <w:ind w:left="120"/>
        <w:jc w:val="both"/>
      </w:pPr>
      <w:r>
        <w:rPr>
          <w:rFonts w:ascii="Times New Roman" w:hAnsi="Times New Roman"/>
          <w:b w:val="false"/>
          <w:i w:val="false"/>
          <w:color w:val="000000"/>
          <w:sz w:val="22"/>
        </w:rPr>
        <w:t>Paint brushes</w:t>
      </w:r>
    </w:p>
    <w:p>
      <w:pPr>
        <w:spacing w:before="0" w:after="0"/>
        <w:ind w:left="120"/>
        <w:jc w:val="both"/>
      </w:pPr>
      <w:r>
        <w:rPr>
          <w:rFonts w:ascii="Times New Roman" w:hAnsi="Times New Roman"/>
          <w:b w:val="false"/>
          <w:i w:val="false"/>
          <w:color w:val="000000"/>
          <w:sz w:val="22"/>
        </w:rPr>
        <w:t>Paint sprayers</w:t>
      </w:r>
    </w:p>
    <w:p>
      <w:pPr>
        <w:spacing w:before="0" w:after="0"/>
        <w:ind w:left="120"/>
        <w:jc w:val="both"/>
      </w:pPr>
      <w:r>
        <w:rPr>
          <w:rFonts w:ascii="Times New Roman" w:hAnsi="Times New Roman"/>
          <w:b w:val="false"/>
          <w:i w:val="false"/>
          <w:color w:val="000000"/>
          <w:sz w:val="22"/>
        </w:rPr>
        <w:t>Sanders</w:t>
      </w:r>
    </w:p>
    <w:p>
      <w:pPr>
        <w:spacing w:before="0" w:after="0"/>
        <w:ind w:left="120"/>
        <w:jc w:val="both"/>
      </w:pPr>
      <w:r>
        <w:rPr>
          <w:rFonts w:ascii="Times New Roman" w:hAnsi="Times New Roman"/>
          <w:b w:val="false"/>
          <w:i w:val="false"/>
          <w:color w:val="000000"/>
          <w:sz w:val="22"/>
        </w:rPr>
        <w:t>Signs</w:t>
      </w:r>
    </w:p>
    <w:p>
      <w:pPr>
        <w:spacing w:before="0" w:after="0"/>
        <w:ind w:left="120"/>
        <w:jc w:val="both"/>
      </w:pPr>
      <w:r>
        <w:rPr>
          <w:rFonts w:ascii="Times New Roman" w:hAnsi="Times New Roman"/>
          <w:b w:val="false"/>
          <w:i w:val="false"/>
          <w:color w:val="000000"/>
          <w:sz w:val="22"/>
        </w:rPr>
        <w:t>Spreaders for putty</w:t>
      </w:r>
    </w:p>
    <w:p>
      <w:pPr>
        <w:spacing w:before="0" w:after="0"/>
        <w:ind w:left="120"/>
        <w:jc w:val="both"/>
      </w:pPr>
      <w:r>
        <w:rPr>
          <w:rFonts w:ascii="Times New Roman" w:hAnsi="Times New Roman"/>
          <w:b w:val="false"/>
          <w:i w:val="false"/>
          <w:color w:val="000000"/>
          <w:sz w:val="22"/>
        </w:rPr>
        <w:t>Washing equipment and parts</w:t>
      </w:r>
    </w:p>
    <w:p>
      <w:pPr>
        <w:spacing w:before="0" w:after="0"/>
        <w:ind w:left="120"/>
        <w:jc w:val="both"/>
      </w:pPr>
      <w:r>
        <w:rPr>
          <w:rFonts w:ascii="Times New Roman" w:hAnsi="Times New Roman"/>
          <w:b w:val="false"/>
          <w:i w:val="false"/>
          <w:color w:val="000000"/>
          <w:sz w:val="22"/>
        </w:rPr>
        <w:t>Welding equipment and parts</w:t>
      </w:r>
    </w:p>
    <w:p>
      <w:pPr>
        <w:spacing w:before="0" w:after="0"/>
        <w:ind w:left="120"/>
        <w:jc w:val="left"/>
      </w:pPr>
      <w:r>
        <w:rPr>
          <w:rFonts w:ascii="Times New Roman" w:hAnsi="Times New Roman"/>
          <w:b w:val="false"/>
          <w:i/>
          <w:color w:val="000000"/>
          <w:sz w:val="22"/>
        </w:rPr>
        <w:t>f.</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Separately itemized. </w:t>
      </w:r>
      <w:r>
        <w:rPr>
          <w:rFonts w:ascii="Times New Roman" w:hAnsi="Times New Roman"/>
          <w:b w:val="false"/>
          <w:i w:val="false"/>
          <w:color w:val="000000"/>
          <w:sz w:val="22"/>
        </w:rPr>
        <w:t xml:space="preserve">A body shop must collect sales tax on the taxable service of repairing motor vehicles. More information is contained in rule </w:t>
      </w:r>
      <w:hyperlink r:id="rId10">
        <w:r>
          <w:rPr>
            <w:rStyle w:val="Hyperlink"/>
            <w:rFonts w:ascii="Times New Roman" w:hAnsi="Times New Roman"/>
            <w:b w:val="false"/>
            <w:i w:val="false"/>
            <w:color w:val="000000"/>
            <w:sz w:val="22"/>
          </w:rPr>
          <w:t>701—218.2(423)</w:t>
        </w:r>
      </w:hyperlink>
      <w:r>
        <w:rPr>
          <w:rFonts w:ascii="Times New Roman" w:hAnsi="Times New Roman"/>
          <w:b w:val="false"/>
          <w:i w:val="false"/>
          <w:color w:val="000000"/>
          <w:sz w:val="22"/>
        </w:rPr>
        <w:t>. However, due to the nature of the insurance formulas, it is possible for the body shop to itemize that portion of the body shop’s billing that would be for repair services and that portion relating to consumed “materials.” It is also possible for the body shop to itemize that portion of the body shop’s charges for parts that the body shop purchases for resale to the body shop’s customers. A body shop does not and cannot resell the tools and supplies previously listed in this rule; the body shop’s purchases of such items are taxable.</w:t>
      </w:r>
    </w:p>
    <w:p>
      <w:pPr>
        <w:spacing w:before="0" w:after="0"/>
        <w:ind w:left="120"/>
        <w:jc w:val="both"/>
      </w:pPr>
      <w:r>
        <w:rPr>
          <w:rFonts w:ascii="Times New Roman" w:hAnsi="Times New Roman"/>
          <w:b w:val="false"/>
          <w:i w:val="false"/>
          <w:color w:val="000000"/>
          <w:sz w:val="22"/>
        </w:rPr>
        <w:t>Therefore, as long as a body shop separately itemizes on the body shop’s invoices to the body shop’s customers the amounts for labor, parts, and “materials,” the body shop should collect sales tax on the labor and the parts, but not on the materials as enumerated in this rule.</w:t>
      </w:r>
    </w:p>
    <w:p>
      <w:pPr>
        <w:spacing w:before="0" w:after="0"/>
        <w:ind w:left="120"/>
        <w:jc w:val="both"/>
      </w:pPr>
      <w:r>
        <w:rPr>
          <w:rFonts w:ascii="Times New Roman" w:hAnsi="Times New Roman"/>
          <w:b w:val="false"/>
          <w:i w:val="false"/>
          <w:color w:val="000000"/>
          <w:sz w:val="22"/>
        </w:rPr>
        <w:t>EXAMPLE 1:</w:t>
      </w:r>
      <w:r>
        <w:rPr>
          <w:rFonts w:ascii="Times New Roman" w:hAnsi="Times New Roman"/>
          <w:b w:val="false"/>
          <w:i w:val="false"/>
          <w:color w:val="000000"/>
          <w:sz w:val="22"/>
        </w:rPr>
        <w:t xml:space="preserve"> Company B, a body shop, repairs a motor vehicle by replacing a fender and painting the vehicle. In doing the repair work, the body shop uses rags, sealer and primer, paint, solder, thinner, bolts, nuts and washers, masking tape, sandpaper, waxes, buffing pads, chamois, and polishes. In Company B’s invoice to the customer, the labor is separately listed at $600, the part (fender) is separately listed at $600, and the category of “materials” is separately listed for a lump sum of $200, for a total billing of $1,400. The Iowa sales tax computed by Company B should be on $1,200, which is the amount attributable to the labor and the parts. The materials consumed by Company B were separately listed and would not be included in the tax base for the taxable “sales price,” as defined in Iowa Code section </w:t>
      </w:r>
      <w:hyperlink r:id="rId11">
        <w:r>
          <w:rPr>
            <w:rStyle w:val="Hyperlink"/>
            <w:rFonts w:ascii="Times New Roman" w:hAnsi="Times New Roman"/>
            <w:b w:val="false"/>
            <w:i w:val="false"/>
            <w:color w:val="000000"/>
            <w:sz w:val="22"/>
          </w:rPr>
          <w:t>423.1(51)</w:t>
        </w:r>
      </w:hyperlink>
      <w:r>
        <w:rPr>
          <w:rFonts w:ascii="Times New Roman" w:hAnsi="Times New Roman"/>
          <w:b w:val="false"/>
          <w:i w:val="false"/>
          <w:color w:val="000000"/>
          <w:sz w:val="22"/>
        </w:rPr>
        <w:t xml:space="preserve">, which is taxable under Iowa Code section </w:t>
      </w:r>
      <w:hyperlink r:id="rId12">
        <w:r>
          <w:rPr>
            <w:rStyle w:val="Hyperlink"/>
            <w:rFonts w:ascii="Times New Roman" w:hAnsi="Times New Roman"/>
            <w:b w:val="false"/>
            <w:i w:val="false"/>
            <w:color w:val="000000"/>
            <w:sz w:val="22"/>
          </w:rPr>
          <w:t>423.2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EXAMPLE 2:</w:t>
      </w:r>
      <w:r>
        <w:rPr>
          <w:rFonts w:ascii="Times New Roman" w:hAnsi="Times New Roman"/>
          <w:b w:val="false"/>
          <w:i w:val="false"/>
          <w:color w:val="000000"/>
          <w:sz w:val="22"/>
        </w:rPr>
        <w:t xml:space="preserve"> Same facts as Example 1, except the “materials” were not separately listed on the invoice, but had been included in either or both of the labor or parts charges by marking up such charges. Company B must collect sales tax on the full charges for parts and labor.</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3">
        <w:r>
          <w:rPr>
            <w:rStyle w:val="Hyperlink"/>
            <w:rFonts w:ascii="Times New Roman" w:hAnsi="Times New Roman"/>
            <w:b w:val="false"/>
            <w:i w:val="false"/>
            <w:color w:val="000000"/>
            <w:sz w:val="22"/>
          </w:rPr>
          <w:t>423.1(39)</w:t>
        </w:r>
      </w:hyperlink>
      <w:r>
        <w:rPr>
          <w:rFonts w:ascii="Times New Roman" w:hAnsi="Times New Roman"/>
          <w:b w:val="false"/>
          <w:i w:val="false"/>
          <w:color w:val="000000"/>
          <w:sz w:val="22"/>
        </w:rPr>
        <w:t xml:space="preserve"> and </w:t>
      </w:r>
      <w:hyperlink r:id="rId14">
        <w:r>
          <w:rPr>
            <w:rStyle w:val="Hyperlink"/>
            <w:rFonts w:ascii="Times New Roman" w:hAnsi="Times New Roman"/>
            <w:b w:val="false"/>
            <w:i w:val="false"/>
            <w:color w:val="000000"/>
            <w:sz w:val="22"/>
          </w:rPr>
          <w:t>423.3(2)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8164C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701—225.4</w:t>
      </w:r>
      <w:r>
        <w:rPr>
          <w:rFonts w:ascii="Times New Roman" w:hAnsi="Times New Roman"/>
          <w:b/>
          <w:i w:val="false"/>
          <w:color w:val="000000"/>
          <w:sz w:val="22"/>
        </w:rPr>
        <w:t xml:space="preserve">(423) </w:t>
      </w:r>
      <w:r>
        <w:rPr>
          <w:rFonts w:ascii="Times New Roman" w:hAnsi="Times New Roman"/>
          <w:b/>
          <w:i w:val="false"/>
          <w:color w:val="000000"/>
          <w:sz w:val="22"/>
        </w:rPr>
        <w:t xml:space="preserve">Maintenance or repair of fabric or clothing. </w:t>
      </w:r>
    </w:p>
    <w:p>
      <w:pPr>
        <w:spacing w:before="0" w:after="0"/>
        <w:ind w:left="120"/>
        <w:jc w:val="both"/>
      </w:pPr>
      <w:r>
        <w:rPr>
          <w:rFonts w:ascii="Times New Roman" w:hAnsi="Times New Roman"/>
          <w:b/>
          <w:i w:val="false"/>
          <w:color w:val="000000"/>
          <w:sz w:val="22"/>
        </w:rPr>
        <w:t>225.4(1)</w:t>
      </w:r>
      <w:r>
        <w:rPr>
          <w:rFonts w:ascii="Times New Roman" w:hAnsi="Times New Roman"/>
          <w:b w:val="false"/>
          <w:i w:val="false"/>
          <w:color w:val="000000"/>
          <w:sz w:val="22"/>
        </w:rPr>
        <w:t> </w:t>
      </w:r>
      <w:r>
        <w:rPr>
          <w:rFonts w:ascii="Times New Roman" w:hAnsi="Times New Roman"/>
          <w:b w:val="false"/>
          <w:i/>
          <w:color w:val="000000"/>
          <w:sz w:val="22"/>
        </w:rPr>
        <w:t xml:space="preserve">Chemicals, solvents, sorbents, and reagents. </w:t>
      </w:r>
      <w:r>
        <w:rPr>
          <w:rFonts w:ascii="Times New Roman" w:hAnsi="Times New Roman"/>
          <w:b w:val="false"/>
          <w:i w:val="false"/>
          <w:color w:val="000000"/>
          <w:sz w:val="22"/>
        </w:rPr>
        <w:t>Sales of chemicals, solvents, sorbents, or reagents directly used and consumed in the maintenance or repair of fabric or clothing are exempt from tax. This rule’s exemption is mainly applicable to dry-cleaning and laundry establishments; however, it is also applicable to soap or any chemical or solvent used to clean carpeting. The department presumes that a substance is “directly used” in the maintenance or repair of fabric or clothing if the substance comes in contact with the fabric or clothing during the maintenance or repair process. Substances that do not come into direct contact with fabric or clothing may, under appropriate circumstances, be directly used in the maintenance or repair of the fabric or clothing, but direct use will not be presumed.</w:t>
      </w:r>
    </w:p>
    <w:p>
      <w:pPr>
        <w:spacing w:before="0" w:after="0"/>
        <w:ind w:left="120"/>
        <w:jc w:val="both"/>
      </w:pPr>
      <w:r>
        <w:rPr>
          <w:rFonts w:ascii="Times New Roman" w:hAnsi="Times New Roman"/>
          <w:b/>
          <w:i w:val="false"/>
          <w:color w:val="000000"/>
          <w:sz w:val="22"/>
        </w:rPr>
        <w:t>225.4(2)</w:t>
      </w:r>
      <w:r>
        <w:rPr>
          <w:rFonts w:ascii="Times New Roman" w:hAnsi="Times New Roman"/>
          <w:b w:val="false"/>
          <w:i w:val="false"/>
          <w:color w:val="000000"/>
          <w:sz w:val="22"/>
        </w:rPr>
        <w:t> </w:t>
      </w:r>
      <w:r>
        <w:rPr>
          <w:rFonts w:ascii="Times New Roman" w:hAnsi="Times New Roman"/>
          <w:b w:val="false"/>
          <w:i/>
          <w:color w:val="000000"/>
          <w:sz w:val="22"/>
        </w:rPr>
        <w:t xml:space="preserve">Examples. </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Perchloroethylene (also known as “perch”) or petroleum solvents used in dry-cleaning machines and coming in direct contact with the clothing being dry-cleaned are typically exempt as being directly used and consumed in the maintenance or repair of fabric or clothing. </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Substances used to clean or filter the “perch” or petroleum solvents would also be exempt from tax, even though these substances do not come in direct contact with the clothing being cleaned. </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The sale of soap or detergents especially made for mixing with “perch” or petroleum solvents is exempt from tax. </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sale of stain removers to dry cleaners is exempt from tax.</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A commercial laundry’s purchase of detergents, bleaches, and fabric softeners is exempt from tax. </w:t>
      </w:r>
    </w:p>
    <w:p>
      <w:pPr>
        <w:spacing w:before="0" w:after="0"/>
        <w:ind w:left="120"/>
        <w:jc w:val="left"/>
      </w:pPr>
      <w:r>
        <w:rPr>
          <w:rFonts w:ascii="Times New Roman" w:hAnsi="Times New Roman"/>
          <w:b w:val="false"/>
          <w:i/>
          <w:color w:val="000000"/>
          <w:sz w:val="22"/>
        </w:rPr>
        <w:t>f.</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commercial laundry’s purchase of water, which is a solvent, is also exempt from tax if purchased for use in the cleaning of clothing.</w:t>
      </w:r>
    </w:p>
    <w:p>
      <w:pPr>
        <w:spacing w:before="0" w:after="0"/>
        <w:ind w:left="120"/>
        <w:jc w:val="left"/>
      </w:pPr>
      <w:r>
        <w:rPr>
          <w:rFonts w:ascii="Times New Roman" w:hAnsi="Times New Roman"/>
          <w:b w:val="false"/>
          <w:i/>
          <w:color w:val="000000"/>
          <w:sz w:val="22"/>
        </w:rPr>
        <w:t>g.</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purchase of starch by laundries and “sizing” by dry cleaners is not exempt from tax.</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5">
        <w:r>
          <w:rPr>
            <w:rStyle w:val="Hyperlink"/>
            <w:rFonts w:ascii="Times New Roman" w:hAnsi="Times New Roman"/>
            <w:b w:val="false"/>
            <w:i w:val="false"/>
            <w:color w:val="000000"/>
            <w:sz w:val="22"/>
          </w:rPr>
          <w:t>423.3(51)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8164C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701—225.5</w:t>
      </w:r>
      <w:r>
        <w:rPr>
          <w:rFonts w:ascii="Times New Roman" w:hAnsi="Times New Roman"/>
          <w:b/>
          <w:i w:val="false"/>
          <w:color w:val="000000"/>
          <w:sz w:val="22"/>
        </w:rPr>
        <w:t xml:space="preserve">(423) </w:t>
      </w:r>
      <w:r>
        <w:rPr>
          <w:rFonts w:ascii="Times New Roman" w:hAnsi="Times New Roman"/>
          <w:b/>
          <w:i w:val="false"/>
          <w:color w:val="000000"/>
          <w:sz w:val="22"/>
        </w:rPr>
        <w:t xml:space="preserve">The sales price from the leasing of all tangible personal property subject to tax. </w:t>
      </w:r>
    </w:p>
    <w:p>
      <w:pPr>
        <w:spacing w:before="0" w:after="0"/>
        <w:ind w:left="120"/>
        <w:jc w:val="both"/>
      </w:pPr>
      <w:r>
        <w:rPr>
          <w:rFonts w:ascii="Times New Roman" w:hAnsi="Times New Roman"/>
          <w:b/>
          <w:i w:val="false"/>
          <w:color w:val="000000"/>
          <w:sz w:val="22"/>
        </w:rPr>
        <w:t>225.5(1)</w:t>
      </w:r>
      <w:r>
        <w:rPr>
          <w:rFonts w:ascii="Times New Roman" w:hAnsi="Times New Roman"/>
          <w:b w:val="false"/>
          <w:i w:val="false"/>
          <w:color w:val="000000"/>
          <w:sz w:val="22"/>
        </w:rPr>
        <w:t> </w:t>
      </w:r>
      <w:r>
        <w:rPr>
          <w:rFonts w:ascii="Times New Roman" w:hAnsi="Times New Roman"/>
          <w:b w:val="false"/>
          <w:i/>
          <w:color w:val="000000"/>
          <w:sz w:val="22"/>
        </w:rPr>
        <w:t xml:space="preserve">Leases. </w:t>
      </w:r>
      <w:r>
        <w:rPr>
          <w:rFonts w:ascii="Times New Roman" w:hAnsi="Times New Roman"/>
          <w:b w:val="false"/>
          <w:i w:val="false"/>
          <w:color w:val="000000"/>
          <w:sz w:val="22"/>
        </w:rPr>
        <w:t>The rental of tangible personal property is treated as the sale of that property for the purposes of Iowa sales and use tax law because “leases” and “rentals” of tangible personal property are taxable retail “sales” of that property. The rental of tangible personal property is not a taxable enumerated service. The resale exemption in favor of sales for resale of tangible personal property is applicable to sales and leases of tangible personal property for subsequent rental or lease.</w:t>
      </w:r>
    </w:p>
    <w:p>
      <w:pPr>
        <w:spacing w:before="0" w:after="0"/>
        <w:ind w:left="120"/>
        <w:jc w:val="both"/>
      </w:pPr>
      <w:r>
        <w:rPr>
          <w:rFonts w:ascii="Times New Roman" w:hAnsi="Times New Roman"/>
          <w:b w:val="false"/>
          <w:i w:val="false"/>
          <w:color w:val="000000"/>
          <w:sz w:val="22"/>
        </w:rPr>
        <w:t>EXAMPLE A:</w:t>
      </w:r>
      <w:r>
        <w:rPr>
          <w:rFonts w:ascii="Times New Roman" w:hAnsi="Times New Roman"/>
          <w:b w:val="false"/>
          <w:i w:val="false"/>
          <w:color w:val="000000"/>
          <w:sz w:val="22"/>
        </w:rPr>
        <w:t xml:space="preserve"> ABC buys blowers, hand tools, ladders, plumbers’ snakes, sanders, and tillers for subsequent short-term rental to various customers. ABC’s purchases of these items of equipment are purchases for resale and are exempt from tax.</w:t>
      </w:r>
    </w:p>
    <w:p>
      <w:pPr>
        <w:spacing w:before="0" w:after="0"/>
        <w:ind w:left="120"/>
        <w:jc w:val="both"/>
      </w:pPr>
      <w:r>
        <w:rPr>
          <w:rFonts w:ascii="Times New Roman" w:hAnsi="Times New Roman"/>
          <w:b w:val="false"/>
          <w:i w:val="false"/>
          <w:color w:val="000000"/>
          <w:sz w:val="22"/>
        </w:rPr>
        <w:t>EXAMPLE B:</w:t>
      </w:r>
      <w:r>
        <w:rPr>
          <w:rFonts w:ascii="Times New Roman" w:hAnsi="Times New Roman"/>
          <w:b w:val="false"/>
          <w:i w:val="false"/>
          <w:color w:val="000000"/>
          <w:sz w:val="22"/>
        </w:rPr>
        <w:t xml:space="preserve"> In addition to its purchases of equipment for subsequent rental, ABC leases from retailers, long-term, items of heavier equipment, such as backhoes, forklifts, manlifts, tractors, and trenchers, again for subsequent leasing to various customers. Since the leasing of tangible personal property is now a purchase of that property, ABC’s leasing for later sublease is a purchase of tangible personal property and is exempt from tax at the time of purchase as the purchase of tangible personal property for subsequent resale.</w:t>
      </w:r>
    </w:p>
    <w:p>
      <w:pPr>
        <w:spacing w:before="0" w:after="0"/>
        <w:ind w:left="120"/>
        <w:jc w:val="both"/>
      </w:pPr>
      <w:r>
        <w:rPr>
          <w:rFonts w:ascii="Times New Roman" w:hAnsi="Times New Roman"/>
          <w:b/>
          <w:i w:val="false"/>
          <w:color w:val="000000"/>
          <w:sz w:val="22"/>
        </w:rPr>
        <w:t>225.5(2)</w:t>
      </w:r>
      <w:r>
        <w:rPr>
          <w:rFonts w:ascii="Times New Roman" w:hAnsi="Times New Roman"/>
          <w:b w:val="false"/>
          <w:i w:val="false"/>
          <w:color w:val="000000"/>
          <w:sz w:val="22"/>
        </w:rPr>
        <w:t> </w:t>
      </w:r>
      <w:r>
        <w:rPr>
          <w:rFonts w:ascii="Times New Roman" w:hAnsi="Times New Roman"/>
          <w:b w:val="false"/>
          <w:i/>
          <w:color w:val="000000"/>
          <w:sz w:val="22"/>
        </w:rPr>
        <w:t xml:space="preserve">Distinguishing leases and rentals of tangible personal property from the furnishing of nontaxable services. </w:t>
      </w:r>
      <w:r>
        <w:rPr>
          <w:rFonts w:ascii="Times New Roman" w:hAnsi="Times New Roman"/>
          <w:b w:val="false"/>
          <w:i w:val="false"/>
          <w:color w:val="000000"/>
          <w:sz w:val="22"/>
        </w:rPr>
        <w:t xml:space="preserve">In order to determine whether a particular fee is charged for the rental of tangible personal property or for the furnishing of a nontaxable service, the department looks at the substance, rather than the form, of the transaction. When the possession and use of tangible personal property by the recipient is merely incidental as compared to the nontaxable service performed, all of the sales price is derived from the furnishing of such nontaxable service and, unless a separate fee or charge is made for the possession and use of tangible personal property, no sales price is derived from the rental of tangible personal property. When the nontaxable service is merely incidental to the possession and use of the tangible personal property by the recipient, all of the sales price is derived from the furnishing of tangible personal property rental and, unless a separate fee or charge is made for the nontaxable service, no sales price is derived from the nontaxable service. When a tangible personal property rental agreement contains separate fee schedules for rent and for nontaxable service, only the sales price derived from the tangible personal property rental is subject to tax. This rule is not to be so construed as to be at variance with Iowa Code sections </w:t>
      </w:r>
      <w:hyperlink r:id="rId16">
        <w:r>
          <w:rPr>
            <w:rStyle w:val="Hyperlink"/>
            <w:rFonts w:ascii="Times New Roman" w:hAnsi="Times New Roman"/>
            <w:b w:val="false"/>
            <w:i w:val="false"/>
            <w:color w:val="000000"/>
            <w:sz w:val="22"/>
          </w:rPr>
          <w:t>423.2(6)</w:t>
        </w:r>
      </w:hyperlink>
      <w:r>
        <w:rPr>
          <w:rFonts w:ascii="Times New Roman" w:hAnsi="Times New Roman"/>
          <w:b w:val="false"/>
          <w:i/>
          <w:color w:val="000000"/>
          <w:sz w:val="22"/>
        </w:rPr>
        <w:t>“bf”</w:t>
      </w:r>
      <w:r>
        <w:rPr>
          <w:rFonts w:ascii="Times New Roman" w:hAnsi="Times New Roman"/>
          <w:b w:val="false"/>
          <w:i w:val="false"/>
          <w:color w:val="000000"/>
          <w:sz w:val="22"/>
        </w:rPr>
        <w:t xml:space="preserve"> and </w:t>
      </w:r>
      <w:hyperlink r:id="rId17">
        <w:r>
          <w:rPr>
            <w:rStyle w:val="Hyperlink"/>
            <w:rFonts w:ascii="Times New Roman" w:hAnsi="Times New Roman"/>
            <w:b w:val="false"/>
            <w:i w:val="false"/>
            <w:color w:val="000000"/>
            <w:sz w:val="22"/>
          </w:rPr>
          <w:t>423.2(8)</w:t>
        </w:r>
      </w:hyperlink>
      <w:r>
        <w:rPr>
          <w:rFonts w:ascii="Times New Roman" w:hAnsi="Times New Roman"/>
          <w:b w:val="false"/>
          <w:i w:val="false"/>
          <w:color w:val="000000"/>
          <w:sz w:val="22"/>
        </w:rPr>
        <w:t xml:space="preserve"> concerning transportation services and bundled service contracts, respectively.</w:t>
      </w:r>
    </w:p>
    <w:p>
      <w:pPr>
        <w:spacing w:before="0" w:after="0"/>
        <w:ind w:left="120"/>
        <w:jc w:val="both"/>
      </w:pPr>
      <w:r>
        <w:rPr>
          <w:rFonts w:ascii="Times New Roman" w:hAnsi="Times New Roman"/>
          <w:b/>
          <w:i w:val="false"/>
          <w:color w:val="000000"/>
          <w:sz w:val="22"/>
        </w:rPr>
        <w:t>225.5(3)</w:t>
      </w:r>
      <w:r>
        <w:rPr>
          <w:rFonts w:ascii="Times New Roman" w:hAnsi="Times New Roman"/>
          <w:b w:val="false"/>
          <w:i w:val="false"/>
          <w:color w:val="000000"/>
          <w:sz w:val="22"/>
        </w:rPr>
        <w:t> </w:t>
      </w:r>
      <w:r>
        <w:rPr>
          <w:rFonts w:ascii="Times New Roman" w:hAnsi="Times New Roman"/>
          <w:b w:val="false"/>
          <w:i/>
          <w:color w:val="000000"/>
          <w:sz w:val="22"/>
        </w:rPr>
        <w:t xml:space="preserve">Rental of real property distinguished from rental of tangible personal property. </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If a rental contract allows the renter exclusive possession or use of a defined area of real property and, incident to that contract, tangible personal property is provided that allows the renter to utilize the real property, if there is no separate charge for rental of tangible personal property, the sales price is for the rental of real property and is not subject to tax, unless taxable room rental is involved.</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If a person rents tangible personal property and, incidental to the rental of the property, space is provided for the property’s use, the sales price from the rental shall be subject to tax. It may at times be difficult to determine whether a particular transaction involves the rental of real property with an incidental use of tangible personal property or the rental of tangible personal property with an incidental use of real property.</w:t>
      </w:r>
    </w:p>
    <w:p>
      <w:pPr>
        <w:spacing w:before="0" w:after="0"/>
        <w:ind w:left="120"/>
        <w:jc w:val="both"/>
      </w:pPr>
      <w:r>
        <w:rPr>
          <w:rFonts w:ascii="Times New Roman" w:hAnsi="Times New Roman"/>
          <w:b/>
          <w:i w:val="false"/>
          <w:color w:val="000000"/>
          <w:sz w:val="22"/>
        </w:rPr>
        <w:t>225.5(4)</w:t>
      </w:r>
      <w:r>
        <w:rPr>
          <w:rFonts w:ascii="Times New Roman" w:hAnsi="Times New Roman"/>
          <w:b w:val="false"/>
          <w:i w:val="false"/>
          <w:color w:val="000000"/>
          <w:sz w:val="22"/>
        </w:rPr>
        <w:t> </w:t>
      </w:r>
      <w:r>
        <w:rPr>
          <w:rFonts w:ascii="Times New Roman" w:hAnsi="Times New Roman"/>
          <w:b w:val="false"/>
          <w:i/>
          <w:color w:val="000000"/>
          <w:sz w:val="22"/>
        </w:rPr>
        <w:t xml:space="preserve">Rental of tangible personal property and rental of fixtures. </w:t>
      </w:r>
      <w:r>
        <w:rPr>
          <w:rFonts w:ascii="Times New Roman" w:hAnsi="Times New Roman"/>
          <w:b w:val="false"/>
          <w:i w:val="false"/>
          <w:color w:val="000000"/>
          <w:sz w:val="22"/>
        </w:rPr>
        <w:t>The rental of tangible personal property that shall, prior to its use by the renter under the rental contract, become a fixture shall not be subject to tax. Such a rental is the rental of real property rather than tangible personal property. In general, any tangible personal property that is connected to real property in a way that it cannot be removed without damage to itself or to the real property is a fixture. The rental of a mobile home or manufactured housing, not sufficiently attached to realty to constitute a fixture, is room rental rather than tangible personal property rental and subject to tax on that basis.</w:t>
      </w:r>
    </w:p>
    <w:p>
      <w:pPr>
        <w:spacing w:before="0" w:after="0"/>
        <w:ind w:left="120"/>
        <w:jc w:val="both"/>
      </w:pPr>
      <w:r>
        <w:rPr>
          <w:rFonts w:ascii="Times New Roman" w:hAnsi="Times New Roman"/>
          <w:b/>
          <w:i w:val="false"/>
          <w:color w:val="000000"/>
          <w:sz w:val="22"/>
        </w:rPr>
        <w:t>225.5(5)</w:t>
      </w:r>
      <w:r>
        <w:rPr>
          <w:rFonts w:ascii="Times New Roman" w:hAnsi="Times New Roman"/>
          <w:b w:val="false"/>
          <w:i w:val="false"/>
          <w:color w:val="000000"/>
          <w:sz w:val="22"/>
        </w:rPr>
        <w:t> </w:t>
      </w:r>
      <w:r>
        <w:rPr>
          <w:rFonts w:ascii="Times New Roman" w:hAnsi="Times New Roman"/>
          <w:b w:val="false"/>
          <w:i/>
          <w:color w:val="000000"/>
          <w:sz w:val="22"/>
        </w:rPr>
        <w:t xml:space="preserve">Rental of tangible personal property embodying intangible personal property rights—transactions taxable and exempt. </w:t>
      </w:r>
      <w:r>
        <w:rPr>
          <w:rFonts w:ascii="Times New Roman" w:hAnsi="Times New Roman"/>
          <w:b w:val="false"/>
          <w:i w:val="false"/>
          <w:color w:val="000000"/>
          <w:sz w:val="22"/>
        </w:rPr>
        <w:t xml:space="preserve">Under the law, the sales price from rental of tangible personal property includes royalties and copyright and license fees. The rental of all property that is a tangible medium of expression for the intangible rights of royalties and copyright and license fees is subject to tax. Therefore, the sales price from the rental of films, videodiscs, videocassettes, and computer software that are the tangible means of expression of intangible property rights is subject to tax. The rental of such tangible personal property is subject to tax whether the property is held for rental to the general public or for rental to one or a few persons. More information is contained in rule </w:t>
      </w:r>
      <w:hyperlink r:id="rId18">
        <w:r>
          <w:rPr>
            <w:rStyle w:val="Hyperlink"/>
            <w:rFonts w:ascii="Times New Roman" w:hAnsi="Times New Roman"/>
            <w:b w:val="false"/>
            <w:i w:val="false"/>
            <w:color w:val="000000"/>
            <w:sz w:val="22"/>
          </w:rPr>
          <w:t>701—221.5(423)</w:t>
        </w:r>
      </w:hyperlink>
      <w:r>
        <w:rPr>
          <w:rFonts w:ascii="Times New Roman" w:hAnsi="Times New Roman"/>
          <w:b w:val="false"/>
          <w:i w:val="false"/>
          <w:color w:val="000000"/>
          <w:sz w:val="22"/>
        </w:rPr>
        <w:t xml:space="preserve"> for an exemption from the requirements of this subrule for rental of films, videotapes and other media to lessees imposing a taxable charge for viewing or rental of the media or to lessees that broadcast the contents of these media for public viewing or listening.</w:t>
      </w:r>
    </w:p>
    <w:p>
      <w:pPr>
        <w:spacing w:before="0" w:after="0"/>
        <w:ind w:left="120"/>
        <w:jc w:val="both"/>
      </w:pPr>
      <w:r>
        <w:rPr>
          <w:rFonts w:ascii="Times New Roman" w:hAnsi="Times New Roman"/>
          <w:b/>
          <w:i w:val="false"/>
          <w:color w:val="000000"/>
          <w:sz w:val="22"/>
        </w:rPr>
        <w:t>225.5(6)</w:t>
      </w:r>
      <w:r>
        <w:rPr>
          <w:rFonts w:ascii="Times New Roman" w:hAnsi="Times New Roman"/>
          <w:b w:val="false"/>
          <w:i w:val="false"/>
          <w:color w:val="000000"/>
          <w:sz w:val="22"/>
        </w:rPr>
        <w:t> </w:t>
      </w:r>
      <w:r>
        <w:rPr>
          <w:rFonts w:ascii="Times New Roman" w:hAnsi="Times New Roman"/>
          <w:b w:val="false"/>
          <w:i/>
          <w:color w:val="000000"/>
          <w:sz w:val="22"/>
        </w:rPr>
        <w:t xml:space="preserve">Deposits and additional fees. </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Taxability of a deposit required by an owner of rental property as a condition of the rental depends upon the type of deposit required. A deposit subject to forfeiture for the lessee’s failure to comply with the rental agreement is not subject to tax. This type of deposit is separate from the rental payments and therefore is not taxable as part of the rental. Such deposits may include those for reservation, late return of the rental property or damage to the rental property. Deposits not subject to forfeiture which represent part of the rental receipts are considered part of the taxable rental and are subject to tax. Such deposits may include a deposit of the first rental payment that is applied to the rental receipts.</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When tangible personal property is rented for a flat fee per month, per year, or for other designated periods, plus an additional fee based on quantity and capacity of production or use, the entire charge is taxable.</w:t>
      </w:r>
    </w:p>
    <w:p>
      <w:pPr>
        <w:spacing w:before="0" w:after="0"/>
        <w:ind w:left="120"/>
        <w:jc w:val="both"/>
      </w:pPr>
      <w:r>
        <w:rPr>
          <w:rFonts w:ascii="Times New Roman" w:hAnsi="Times New Roman"/>
          <w:b/>
          <w:i w:val="false"/>
          <w:color w:val="000000"/>
          <w:sz w:val="22"/>
        </w:rPr>
        <w:t>225.5(7)</w:t>
      </w:r>
      <w:r>
        <w:rPr>
          <w:rFonts w:ascii="Times New Roman" w:hAnsi="Times New Roman"/>
          <w:b w:val="false"/>
          <w:i w:val="false"/>
          <w:color w:val="000000"/>
          <w:sz w:val="22"/>
        </w:rPr>
        <w:t> </w:t>
      </w:r>
      <w:r>
        <w:rPr>
          <w:rFonts w:ascii="Times New Roman" w:hAnsi="Times New Roman"/>
          <w:b w:val="false"/>
          <w:i/>
          <w:color w:val="000000"/>
          <w:sz w:val="22"/>
        </w:rPr>
        <w:t xml:space="preserve">Leasing of tangible personal property moving in interstate commerce. </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In the case of a lease or rental that requires recurring periodic payments, the first periodic payment is taxed to Iowa if the property was delivered to the lessee in Iowa. Periodic payments made subsequent to the first payment may be taxed only by the state in which the property is primarily located for the period covered by the payment. The primary property location shall be as indicated by an address for the property provided by the lessee that is available to the lessor from its records maintained in the ordinary course of business, when use of this address does not constitute bad faith. The property location shall not be altered by intermittent use at different locations, such as use of business property that accompanies employees on business trips and service calls.</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Where a nonresident lessor leases tangible personal property to a resident or nonresident lessee and the lessee uses the property in Iowa, the nonresident lessor has the responsibility of collecting Iowa use tax on the lease payments if Iowa is the primary location of the property, provided the lessor is a retailer maintaining a place of business in this state as defined in Iowa Code section </w:t>
      </w:r>
      <w:hyperlink r:id="rId19">
        <w:r>
          <w:rPr>
            <w:rStyle w:val="Hyperlink"/>
            <w:rFonts w:ascii="Times New Roman" w:hAnsi="Times New Roman"/>
            <w:b w:val="false"/>
            <w:i w:val="false"/>
            <w:color w:val="000000"/>
            <w:sz w:val="22"/>
          </w:rPr>
          <w:t>423.1(48)</w:t>
        </w:r>
      </w:hyperlink>
      <w:r>
        <w:rPr>
          <w:rFonts w:ascii="Times New Roman" w:hAnsi="Times New Roman"/>
          <w:b w:val="false"/>
          <w:i w:val="false"/>
          <w:color w:val="000000"/>
          <w:sz w:val="22"/>
        </w:rPr>
        <w:t xml:space="preserve">. Whether the lease agreement is executed in Iowa or not is irrelevant. </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Where a lessee rents equipment sourced to Iowa and no tax has been collected from such lessee by the lessor, the lessee should remit Iowa use tax to the department of revenue. In the event no tax is remitted, the department, in its discretion, may seek to collect the tax from the lessor or lessee. In the event that the lessee rents tangible personal property, and the lessor does not maintain a place of business in Iowa and does not collect use tax pursuant to Iowa Code section </w:t>
      </w:r>
      <w:hyperlink r:id="rId20">
        <w:r>
          <w:rPr>
            <w:rStyle w:val="Hyperlink"/>
            <w:rFonts w:ascii="Times New Roman" w:hAnsi="Times New Roman"/>
            <w:b w:val="false"/>
            <w:i w:val="false"/>
            <w:color w:val="000000"/>
            <w:sz w:val="22"/>
          </w:rPr>
          <w:t>423.14</w:t>
        </w:r>
      </w:hyperlink>
      <w:r>
        <w:rPr>
          <w:rFonts w:ascii="Times New Roman" w:hAnsi="Times New Roman"/>
          <w:b w:val="false"/>
          <w:i w:val="false"/>
          <w:color w:val="000000"/>
          <w:sz w:val="22"/>
        </w:rPr>
        <w:t>, such lessee shall remit tax on its rental payments to the department.</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Where a resident lessor leases equipment to a nonresident lessee outside Iowa and the equipment is delivered to the lessee outside Iowa, the act of leasing is exempt from the Iowa sales tax on the rental payments. However, in the event the lessee brings the equipment into Iowa, uses it in Iowa, and Iowa becomes the primary location of the property, Iowa use tax applies to subsequent rental payments.</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If sales or use tax has already been paid to another state on the sales price of tangible personal property prior to the use of that property in Iowa, a tax credit against the Iowa use tax on the purchase price will be given. After the equipment is brought into Iowa, if sales or use tax is properly payable and is paid to another state on the rental payments of equipment, for the same time the Iowa tax is imposed on such rentals, a tax credit against the Iowa use tax on such rental payments will be given.</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1">
        <w:r>
          <w:rPr>
            <w:rStyle w:val="Hyperlink"/>
            <w:rFonts w:ascii="Times New Roman" w:hAnsi="Times New Roman"/>
            <w:b w:val="false"/>
            <w:i w:val="false"/>
            <w:color w:val="000000"/>
            <w:sz w:val="22"/>
          </w:rPr>
          <w:t>423.1(24)</w:t>
        </w:r>
      </w:hyperlink>
      <w:r>
        <w:rPr>
          <w:rFonts w:ascii="Times New Roman" w:hAnsi="Times New Roman"/>
          <w:b w:val="false"/>
          <w:i w:val="false"/>
          <w:color w:val="000000"/>
          <w:sz w:val="22"/>
        </w:rPr>
        <w:t xml:space="preserve">, </w:t>
      </w:r>
      <w:hyperlink r:id="rId22">
        <w:r>
          <w:rPr>
            <w:rStyle w:val="Hyperlink"/>
            <w:rFonts w:ascii="Times New Roman" w:hAnsi="Times New Roman"/>
            <w:b w:val="false"/>
            <w:i w:val="false"/>
            <w:color w:val="000000"/>
            <w:sz w:val="22"/>
          </w:rPr>
          <w:t>423.1(43)</w:t>
        </w:r>
      </w:hyperlink>
      <w:r>
        <w:rPr>
          <w:rFonts w:ascii="Times New Roman" w:hAnsi="Times New Roman"/>
          <w:b w:val="false"/>
          <w:i w:val="false"/>
          <w:color w:val="000000"/>
          <w:sz w:val="22"/>
        </w:rPr>
        <w:t xml:space="preserve">, </w:t>
      </w:r>
      <w:hyperlink r:id="rId23">
        <w:r>
          <w:rPr>
            <w:rStyle w:val="Hyperlink"/>
            <w:rFonts w:ascii="Times New Roman" w:hAnsi="Times New Roman"/>
            <w:b w:val="false"/>
            <w:i w:val="false"/>
            <w:color w:val="000000"/>
            <w:sz w:val="22"/>
          </w:rPr>
          <w:t>423.1(46)</w:t>
        </w:r>
      </w:hyperlink>
      <w:r>
        <w:rPr>
          <w:rFonts w:ascii="Times New Roman" w:hAnsi="Times New Roman"/>
          <w:b w:val="false"/>
          <w:i w:val="false"/>
          <w:color w:val="000000"/>
          <w:sz w:val="22"/>
        </w:rPr>
        <w:t xml:space="preserve">, </w:t>
      </w:r>
      <w:hyperlink r:id="rId24">
        <w:r>
          <w:rPr>
            <w:rStyle w:val="Hyperlink"/>
            <w:rFonts w:ascii="Times New Roman" w:hAnsi="Times New Roman"/>
            <w:b w:val="false"/>
            <w:i w:val="false"/>
            <w:color w:val="000000"/>
            <w:sz w:val="22"/>
          </w:rPr>
          <w:t>423.1(54)</w:t>
        </w:r>
      </w:hyperlink>
      <w:r>
        <w:rPr>
          <w:rFonts w:ascii="Times New Roman" w:hAnsi="Times New Roman"/>
          <w:b w:val="false"/>
          <w:i w:val="false"/>
          <w:color w:val="000000"/>
          <w:sz w:val="22"/>
        </w:rPr>
        <w:t xml:space="preserve">, </w:t>
      </w:r>
      <w:hyperlink r:id="rId25">
        <w:r>
          <w:rPr>
            <w:rStyle w:val="Hyperlink"/>
            <w:rFonts w:ascii="Times New Roman" w:hAnsi="Times New Roman"/>
            <w:b w:val="false"/>
            <w:i w:val="false"/>
            <w:color w:val="000000"/>
            <w:sz w:val="22"/>
          </w:rPr>
          <w:t>423.2(1)</w:t>
        </w:r>
      </w:hyperlink>
      <w:r>
        <w:rPr>
          <w:rFonts w:ascii="Times New Roman" w:hAnsi="Times New Roman"/>
          <w:b w:val="false"/>
          <w:i w:val="false"/>
          <w:color w:val="000000"/>
          <w:sz w:val="22"/>
        </w:rPr>
        <w:t xml:space="preserve">, and </w:t>
      </w:r>
      <w:hyperlink r:id="rId26">
        <w:r>
          <w:rPr>
            <w:rStyle w:val="Hyperlink"/>
            <w:rFonts w:ascii="Times New Roman" w:hAnsi="Times New Roman"/>
            <w:b w:val="false"/>
            <w:i w:val="false"/>
            <w:color w:val="000000"/>
            <w:sz w:val="22"/>
          </w:rPr>
          <w:t>423.15(2)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8164C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701—225.6</w:t>
      </w:r>
      <w:r>
        <w:rPr>
          <w:rFonts w:ascii="Times New Roman" w:hAnsi="Times New Roman"/>
          <w:b/>
          <w:i w:val="false"/>
          <w:color w:val="000000"/>
          <w:sz w:val="22"/>
        </w:rPr>
        <w:t xml:space="preserve">(423) </w:t>
      </w:r>
      <w:r>
        <w:rPr>
          <w:rFonts w:ascii="Times New Roman" w:hAnsi="Times New Roman"/>
          <w:b/>
          <w:i w:val="false"/>
          <w:color w:val="000000"/>
          <w:sz w:val="22"/>
        </w:rPr>
        <w:t xml:space="preserve">Certain inputs used in taxable vehicle wash and wax services. </w:t>
      </w:r>
      <w:r>
        <w:rPr>
          <w:rFonts w:ascii="Times New Roman" w:hAnsi="Times New Roman"/>
          <w:b w:val="false"/>
          <w:i w:val="false"/>
          <w:color w:val="000000"/>
          <w:sz w:val="22"/>
        </w:rPr>
        <w:t xml:space="preserve">The sales price from the sale of water, electricity, chemicals, solvents, sorbents, or reagents to a retailer to be used in providing a service that includes a vehicle wash and wax that is subject to Iowa Code section </w:t>
      </w:r>
      <w:hyperlink r:id="rId27">
        <w:r>
          <w:rPr>
            <w:rStyle w:val="Hyperlink"/>
            <w:rFonts w:ascii="Times New Roman" w:hAnsi="Times New Roman"/>
            <w:b w:val="false"/>
            <w:i w:val="false"/>
            <w:color w:val="000000"/>
            <w:sz w:val="22"/>
          </w:rPr>
          <w:t>423.2(6)</w:t>
        </w:r>
      </w:hyperlink>
      <w:r>
        <w:rPr>
          <w:rFonts w:ascii="Times New Roman" w:hAnsi="Times New Roman"/>
          <w:b w:val="false"/>
          <w:i w:val="false"/>
          <w:color w:val="000000"/>
          <w:sz w:val="22"/>
        </w:rPr>
        <w:t xml:space="preserve"> is exempt from tax. </w:t>
      </w:r>
    </w:p>
    <w:p>
      <w:pPr>
        <w:spacing w:before="0" w:after="0"/>
        <w:ind w:left="120"/>
        <w:jc w:val="both"/>
      </w:pPr>
      <w:r>
        <w:rPr>
          <w:rFonts w:ascii="Times New Roman" w:hAnsi="Times New Roman"/>
          <w:b/>
          <w:i w:val="false"/>
          <w:color w:val="000000"/>
          <w:sz w:val="22"/>
        </w:rPr>
        <w:t>225.6(1)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 xml:space="preserve">For the purposes of this rule, terms mean the same as defined in Iowa Code section </w:t>
      </w:r>
      <w:hyperlink r:id="rId28">
        <w:r>
          <w:rPr>
            <w:rStyle w:val="Hyperlink"/>
            <w:rFonts w:ascii="Times New Roman" w:hAnsi="Times New Roman"/>
            <w:b w:val="false"/>
            <w:i w:val="false"/>
            <w:color w:val="000000"/>
            <w:sz w:val="22"/>
          </w:rPr>
          <w:t>423.1</w:t>
        </w:r>
      </w:hyperlink>
      <w:r>
        <w:rPr>
          <w:rFonts w:ascii="Times New Roman" w:hAnsi="Times New Roman"/>
          <w:b w:val="false"/>
          <w:i w:val="false"/>
          <w:color w:val="000000"/>
          <w:sz w:val="22"/>
        </w:rPr>
        <w:t xml:space="preserve"> and </w:t>
      </w:r>
      <w:hyperlink r:id="rId29">
        <w:r>
          <w:rPr>
            <w:rStyle w:val="Hyperlink"/>
            <w:rFonts w:ascii="Times New Roman" w:hAnsi="Times New Roman"/>
            <w:b w:val="false"/>
            <w:i w:val="false"/>
            <w:color w:val="000000"/>
            <w:sz w:val="22"/>
          </w:rPr>
          <w:t>701—Chapter 200</w:t>
        </w:r>
      </w:hyperlink>
      <w:r>
        <w:rPr>
          <w:rFonts w:ascii="Times New Roman" w:hAnsi="Times New Roman"/>
          <w:b w:val="false"/>
          <w:i w:val="false"/>
          <w:color w:val="000000"/>
          <w:sz w:val="22"/>
        </w:rPr>
        <w:t>. Additionally, the following definitions apply:</w:t>
      </w:r>
    </w:p>
    <w:p>
      <w:pPr>
        <w:spacing w:before="0" w:after="0"/>
        <w:ind w:left="120"/>
        <w:jc w:val="both"/>
      </w:pPr>
      <w:r>
        <w:rPr>
          <w:rFonts w:ascii="Times New Roman" w:hAnsi="Times New Roman"/>
          <w:b w:val="false"/>
          <w:i/>
          <w:color w:val="000000"/>
          <w:sz w:val="22"/>
        </w:rPr>
        <w:t xml:space="preserve">“Secondary vehicle wash and wax facility” </w:t>
      </w:r>
      <w:r>
        <w:rPr>
          <w:rFonts w:ascii="Times New Roman" w:hAnsi="Times New Roman"/>
          <w:b w:val="false"/>
          <w:i w:val="false"/>
          <w:color w:val="000000"/>
          <w:sz w:val="22"/>
        </w:rPr>
        <w:t xml:space="preserve">means a vehicle wash and wax facility whose primary purpose is to sell tangible personal property or services other than vehicle wash and wax services, but which also provides vehicle wash and wax services that are taxable under Iowa Code section </w:t>
      </w:r>
      <w:hyperlink r:id="rId30">
        <w:r>
          <w:rPr>
            <w:rStyle w:val="Hyperlink"/>
            <w:rFonts w:ascii="Times New Roman" w:hAnsi="Times New Roman"/>
            <w:b w:val="false"/>
            <w:i w:val="false"/>
            <w:color w:val="000000"/>
            <w:sz w:val="22"/>
          </w:rPr>
          <w:t>423.2(6)</w:t>
        </w:r>
      </w:hyperlink>
      <w:r>
        <w:rPr>
          <w:rFonts w:ascii="Times New Roman" w:hAnsi="Times New Roman"/>
          <w:b w:val="false"/>
          <w:i w:val="false"/>
          <w:color w:val="000000"/>
          <w:sz w:val="22"/>
        </w:rPr>
        <w:t>. Examples of “secondary vehicle wash and wax facilities” include but are not limited to vehicle dealerships, convenience stores, service stations, and wholesale and retail fuel marketing locations that provide taxable vehicle wash and wax services in addition to their primary business purpose. A facility that provides vehicle wash and wax services that also sells tangible personal property or other services is presumed to be a “secondary vehicle wash and wax facility” unless it can prove otherwise.</w:t>
      </w:r>
    </w:p>
    <w:p>
      <w:pPr>
        <w:spacing w:before="0" w:after="0"/>
        <w:ind w:left="120"/>
        <w:jc w:val="both"/>
      </w:pPr>
      <w:r>
        <w:rPr>
          <w:rFonts w:ascii="Times New Roman" w:hAnsi="Times New Roman"/>
          <w:b w:val="false"/>
          <w:i/>
          <w:color w:val="000000"/>
          <w:sz w:val="22"/>
        </w:rPr>
        <w:t xml:space="preserve">“Stand-alone vehicle wash and wax facility” </w:t>
      </w:r>
      <w:r>
        <w:rPr>
          <w:rFonts w:ascii="Times New Roman" w:hAnsi="Times New Roman"/>
          <w:b w:val="false"/>
          <w:i w:val="false"/>
          <w:color w:val="000000"/>
          <w:sz w:val="22"/>
        </w:rPr>
        <w:t xml:space="preserve">means a vehicle wash and wax facility whose primary purpose is to provide vehicle wash and wax services that are taxable under Iowa Code section </w:t>
      </w:r>
      <w:hyperlink r:id="rId31">
        <w:r>
          <w:rPr>
            <w:rStyle w:val="Hyperlink"/>
            <w:rFonts w:ascii="Times New Roman" w:hAnsi="Times New Roman"/>
            <w:b w:val="false"/>
            <w:i w:val="false"/>
            <w:color w:val="000000"/>
            <w:sz w:val="22"/>
          </w:rPr>
          <w:t>423.2(6)</w:t>
        </w:r>
      </w:hyperlink>
      <w:r>
        <w:rPr>
          <w:rFonts w:ascii="Times New Roman" w:hAnsi="Times New Roman"/>
          <w:b w:val="false"/>
          <w:i w:val="false"/>
          <w:color w:val="000000"/>
          <w:sz w:val="22"/>
        </w:rPr>
        <w:t>. A vehicle wash and wax facility is considered a “stand-alone vehicle wash and wax facility” although it sells a de minimis amount of products and services related to vehicle wash and wax services. Nonexclusive examples of products and services related to vehicle wash and wax services include coin-operated vacuum stations and air fresheners and vehicle wipes that are sold out of vending machines.</w:t>
      </w:r>
    </w:p>
    <w:p>
      <w:pPr>
        <w:spacing w:before="0" w:after="0"/>
        <w:ind w:left="120"/>
        <w:jc w:val="both"/>
      </w:pPr>
      <w:r>
        <w:rPr>
          <w:rFonts w:ascii="Times New Roman" w:hAnsi="Times New Roman"/>
          <w:b w:val="false"/>
          <w:i/>
          <w:color w:val="000000"/>
          <w:sz w:val="22"/>
        </w:rPr>
        <w:t xml:space="preserve">“Vehicle” </w:t>
      </w:r>
      <w:r>
        <w:rPr>
          <w:rFonts w:ascii="Times New Roman" w:hAnsi="Times New Roman"/>
          <w:b w:val="false"/>
          <w:i w:val="false"/>
          <w:color w:val="000000"/>
          <w:sz w:val="22"/>
        </w:rPr>
        <w:t xml:space="preserve">means the same as defined in Iowa Code section </w:t>
      </w:r>
      <w:hyperlink r:id="rId32">
        <w:r>
          <w:rPr>
            <w:rStyle w:val="Hyperlink"/>
            <w:rFonts w:ascii="Times New Roman" w:hAnsi="Times New Roman"/>
            <w:b w:val="false"/>
            <w:i w:val="false"/>
            <w:color w:val="000000"/>
            <w:sz w:val="22"/>
          </w:rPr>
          <w:t>321.1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color w:val="000000"/>
          <w:sz w:val="22"/>
        </w:rPr>
        <w:t xml:space="preserve">“Vehicle wash and wax facility” </w:t>
      </w:r>
      <w:r>
        <w:rPr>
          <w:rFonts w:ascii="Times New Roman" w:hAnsi="Times New Roman"/>
          <w:b w:val="false"/>
          <w:i w:val="false"/>
          <w:color w:val="000000"/>
          <w:sz w:val="22"/>
        </w:rPr>
        <w:t>means any retailer that provides vehicle wash and wax services.</w:t>
      </w:r>
    </w:p>
    <w:p>
      <w:pPr>
        <w:spacing w:before="0" w:after="0"/>
        <w:ind w:left="120"/>
        <w:jc w:val="both"/>
      </w:pPr>
      <w:r>
        <w:rPr>
          <w:rFonts w:ascii="Times New Roman" w:hAnsi="Times New Roman"/>
          <w:b w:val="false"/>
          <w:i/>
          <w:color w:val="000000"/>
          <w:sz w:val="22"/>
        </w:rPr>
        <w:t xml:space="preserve">“Vehicle wash and wax services”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“vehicle wash and wax” </w:t>
      </w:r>
      <w:r>
        <w:rPr>
          <w:rFonts w:ascii="Times New Roman" w:hAnsi="Times New Roman"/>
          <w:b w:val="false"/>
          <w:i w:val="false"/>
          <w:color w:val="000000"/>
          <w:sz w:val="22"/>
        </w:rPr>
        <w:t>means washing and waxing services performed inside or outside of the vehicle or both whether the services are performed by hand, machine, or coin-operated devices.</w:t>
      </w:r>
    </w:p>
    <w:p>
      <w:pPr>
        <w:spacing w:before="0" w:after="0"/>
        <w:ind w:left="120"/>
        <w:jc w:val="both"/>
      </w:pPr>
      <w:r>
        <w:rPr>
          <w:rFonts w:ascii="Times New Roman" w:hAnsi="Times New Roman"/>
          <w:b w:val="false"/>
          <w:i/>
          <w:color w:val="000000"/>
          <w:sz w:val="22"/>
        </w:rPr>
        <w:t xml:space="preserve">“Water” </w:t>
      </w:r>
      <w:r>
        <w:rPr>
          <w:rFonts w:ascii="Times New Roman" w:hAnsi="Times New Roman"/>
          <w:b w:val="false"/>
          <w:i w:val="false"/>
          <w:color w:val="000000"/>
          <w:sz w:val="22"/>
        </w:rPr>
        <w:t>means water directly consumed or used in providing the taxable vehicle wash and wax service. “Water” does not include, for example, charges or fees for storm water, sanitary sewer, or solid waste services since these are not fees for water directly used or consumed in providing the taxable vehicle wash and wax service.</w:t>
      </w:r>
    </w:p>
    <w:p>
      <w:pPr>
        <w:spacing w:before="0" w:after="0"/>
        <w:ind w:left="120"/>
        <w:jc w:val="both"/>
      </w:pPr>
      <w:r>
        <w:rPr>
          <w:rFonts w:ascii="Times New Roman" w:hAnsi="Times New Roman"/>
          <w:b/>
          <w:i w:val="false"/>
          <w:color w:val="000000"/>
          <w:sz w:val="22"/>
        </w:rPr>
        <w:t>225.6(2)</w:t>
      </w:r>
      <w:r>
        <w:rPr>
          <w:rFonts w:ascii="Times New Roman" w:hAnsi="Times New Roman"/>
          <w:b w:val="false"/>
          <w:i w:val="false"/>
          <w:color w:val="000000"/>
          <w:sz w:val="22"/>
        </w:rPr>
        <w:t> </w:t>
      </w:r>
      <w:r>
        <w:rPr>
          <w:rFonts w:ascii="Times New Roman" w:hAnsi="Times New Roman"/>
          <w:b w:val="false"/>
          <w:i/>
          <w:color w:val="000000"/>
          <w:sz w:val="22"/>
        </w:rPr>
        <w:t xml:space="preserve">Purchases made by a stand-alone vehicle wash and wax facility. </w:t>
      </w:r>
      <w:r>
        <w:rPr>
          <w:rFonts w:ascii="Times New Roman" w:hAnsi="Times New Roman"/>
          <w:b w:val="false"/>
          <w:i w:val="false"/>
          <w:color w:val="000000"/>
          <w:sz w:val="22"/>
        </w:rPr>
        <w:t>Purchases of water, electricity, chemicals, solvents, sorbents, or reagents by a stand-alone vehicle wash and wax facility are presumed to be 100 percent exempt from sales tax. The stand-alone vehicle wash and wax facility is not required to provide the retailers of such items with an exemption certificate.</w:t>
      </w:r>
    </w:p>
    <w:p>
      <w:pPr>
        <w:spacing w:before="0" w:after="0"/>
        <w:ind w:left="120"/>
        <w:jc w:val="both"/>
      </w:pPr>
      <w:r>
        <w:rPr>
          <w:rFonts w:ascii="Times New Roman" w:hAnsi="Times New Roman"/>
          <w:b/>
          <w:i w:val="false"/>
          <w:color w:val="000000"/>
          <w:sz w:val="22"/>
        </w:rPr>
        <w:t>225.6(3)</w:t>
      </w:r>
      <w:r>
        <w:rPr>
          <w:rFonts w:ascii="Times New Roman" w:hAnsi="Times New Roman"/>
          <w:b w:val="false"/>
          <w:i w:val="false"/>
          <w:color w:val="000000"/>
          <w:sz w:val="22"/>
        </w:rPr>
        <w:t> </w:t>
      </w:r>
      <w:r>
        <w:rPr>
          <w:rFonts w:ascii="Times New Roman" w:hAnsi="Times New Roman"/>
          <w:b w:val="false"/>
          <w:i/>
          <w:color w:val="000000"/>
          <w:sz w:val="22"/>
        </w:rPr>
        <w:t xml:space="preserve">Purchases made by a secondary vehicle wash and wax facility. </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Sales price of electricity and water. </w:t>
      </w:r>
      <w:r>
        <w:rPr>
          <w:rFonts w:ascii="Times New Roman" w:hAnsi="Times New Roman"/>
          <w:b w:val="false"/>
          <w:i w:val="false"/>
          <w:color w:val="000000"/>
          <w:sz w:val="22"/>
        </w:rPr>
        <w:t>The exemption for the sales price of electricity and water purchased by secondary vehicle wash and wax facilities applies only to the sales price from the sale of electricity and water directly consumed or used in providing vehicle wash and wax services, as distinguished from electricity and water used and consumed for other purposes not related to vehicle wash and wax services (e.g., electricity to operate office equipment or lighting, and water used for cleaning the inside of a gas station or for irrigation).</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Separately metered electricity and water. Ideally, a secondary vehicle wash and wax facility will have separate meters to measure its nonexempt electricity and water usage and its exempt electricity and water used for providing taxable vehicle wash and wax services. A secondary vehicle wash and wax facility that separately meters its exempt and nonexempt electricity and water usage and does not use the exempt electricity and water for any other purpose than providing a taxable vehicle wash and wax service does not have to file an exemption certificate with the retailers. The retailer should not charge tax on the charges associated with the meters that measure electricity and water used solely for providing the taxable vehicle wash and wax services.</w:t>
      </w:r>
    </w:p>
    <w:p>
      <w:pPr>
        <w:spacing w:before="0" w:after="0"/>
        <w:ind w:left="120"/>
        <w:jc w:val="both"/>
      </w:pPr>
      <w:r>
        <w:rPr>
          <w:rFonts w:ascii="Times New Roman" w:hAnsi="Times New Roman"/>
          <w:b w:val="false"/>
          <w:i w:val="false"/>
          <w:color w:val="000000"/>
          <w:sz w:val="22"/>
        </w:rPr>
        <w:t>However, if water or electricity that is measured by the meter that separately measures the vehicle wash and wax facility is used for both taxable vehicle wash and wax services and nonexempt purposes (e.g., consumed in performance of its business operations), the secondary vehicle wash and wax facility must allocate the use of the electricity or water according to exempt and nonexempt use if an exemption for nontaxable use is to be claimed. To obtain the exemption for electricity or water under this rule, a secondary vehicle wash and wax facility that has both exempt and nonexempt electricity or water usage measured by the same meter must request the exemption by providing an exemption certificate to the electricity or water retailer.</w:t>
      </w:r>
    </w:p>
    <w:p>
      <w:pPr>
        <w:spacing w:before="0" w:after="0"/>
        <w:ind w:left="120"/>
        <w:jc w:val="both"/>
      </w:pPr>
      <w:r>
        <w:rPr>
          <w:rFonts w:ascii="Times New Roman" w:hAnsi="Times New Roman"/>
          <w:b w:val="false"/>
          <w:i w:val="false"/>
          <w:color w:val="000000"/>
          <w:sz w:val="22"/>
        </w:rPr>
        <w:t>The exemption certificate shall indicate what percentage of the electricity or water is used for taxable vehicle wash and wax services and is therefore exempt. The exemption certificate shall be in writing and detail how the percentages of exempt and nonexempt usage were developed. The rationale provided for the percentage of exempt water and electricity must be reasonable after the nature of the secondary vehicle wash and wax service facility’s primary purpose and all other facts and circumstances are considered. A secondary vehicle wash and wax facility that cannot, or does not want to, determine the percentage of exempt electricity or water usage may forego the exemption. The exemption certificate is valid for three years, but the secondary vehicle wash and wax facility must amend its exemption certificate to reflect any changes that would affect the exemption amount (e.g., summer month water usage compared to winter month water usage).</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Exempt and nonexempt usage measured by the same meter. When electricity and water are purchased for vehicle wash and wax services as well as for taxable uses, and the use of the electricity or water is recorded on a single meter, a secondary vehicle wash and wax facility must allocate the use of the electricity or water according to exempt and nonexempt use if an exemption for nontaxable use is to be claimed. To obtain the exemption for electricity or water under this subparagraph, a secondary vehicle wash and wax facility that has both exempt and nonexempt electricity or water usage measured by the same meter must request the exemption by providing an exemption certificate to the electricity or water retailer.</w:t>
      </w:r>
    </w:p>
    <w:p>
      <w:pPr>
        <w:spacing w:before="0" w:after="0"/>
        <w:ind w:left="120"/>
        <w:jc w:val="both"/>
      </w:pPr>
      <w:r>
        <w:rPr>
          <w:rFonts w:ascii="Times New Roman" w:hAnsi="Times New Roman"/>
          <w:b w:val="false"/>
          <w:i w:val="false"/>
          <w:color w:val="000000"/>
          <w:sz w:val="22"/>
        </w:rPr>
        <w:t>The exemption certificate must indicate what percentage of the electricity or water is used for taxable vehicle wash and wax services and is therefore exempt. The exemption certificate shall be in writing and detail how the percentages of exempt and nonexempt usage were developed. The rationale provided for the percentages of exempt water and electricity must be reasonable after the nature of the secondary vehicle wash and wax service provider’s primary purpose and all other facts and circumstances are considered. A secondary vehicle wash and wax facility that cannot, or does not want to, determine the percentages of exempt electricity and water usage may either forego the exemption or install a separate meter. The exemption certificate is valid for three years, but the secondary vehicle wash and wax facility must amend its exemption certificate to reflect any changes that would affect the exemption amount (e.g., summer month water usage compared to winter month water usage).</w:t>
      </w:r>
    </w:p>
    <w:p>
      <w:pPr>
        <w:spacing w:before="0" w:after="0"/>
        <w:ind w:left="120"/>
        <w:jc w:val="both"/>
      </w:pPr>
      <w:r>
        <w:rPr>
          <w:rFonts w:ascii="Times New Roman" w:hAnsi="Times New Roman"/>
          <w:b w:val="false"/>
          <w:i w:val="false"/>
          <w:color w:val="000000"/>
          <w:sz w:val="22"/>
        </w:rPr>
        <w:t>Exemption statutes are strictly construed against the taxpayer in favor of taxation. The secondary vehicle wash and wax facility has the burden of proof regarding the exempt percentages and is liable for any mistakes or misrepresentations made regarding the computation or for failure to notify the electricity or water retailer in writing of the percentage of exempt usage, if required.</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Sales price of chemicals, solvents, sorbents, or reagents. </w:t>
      </w:r>
      <w:r>
        <w:rPr>
          <w:rFonts w:ascii="Times New Roman" w:hAnsi="Times New Roman"/>
          <w:b w:val="false"/>
          <w:i w:val="false"/>
          <w:color w:val="000000"/>
          <w:sz w:val="22"/>
        </w:rPr>
        <w:t>The sales price of chemicals, solvents, sorbents, or reagents sold to a secondary vehicle wash and wax facility to be used in providing a taxable vehicle wash and wax service is presumed to be 100 percent exempt from sales tax if the secondary vehicle wash and wax facility’s primary business does not consume or sell the same chemicals, solvents, sorbents, or reagents that are used in providing taxable vehicle wash and wax services. If the secondary vehicle wash and wax facility’s primary business does not use or sell the same products used in providing the taxable vehicle wash and wax service, the facility does not have to provide the retailer with an exemption certificate. However, if the secondary vehicle wash and wax facility may consume the chemicals, solvents, sorbents, or reagents for any purpose other than providing taxable vehicle wash and wax services, the secondary vehicle wash and wax facility shall either:</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Purchase such items without tax liability if the majority of the chemicals, solvents, sorbents, or reagents are used in performing the vehicle wash and wax service and remit the tax to the department at the time such items are consumed in the operation of the primary business. The secondary vehicle wash and wax facility shall provide to the retailer an exemption certificate that indicates that not all items will be used in providing a taxable vehicle wash and wax service and the tax on such items will be remitted at a later date; or</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Pay tax to retailers at the time of purchase if the majority of the chemicals, solvents, sorbents, or reagents will be consumed in the operation of the primary business and deduct the original cost of any such items subsequently used in the vehicle wash and wax service when reporting tax on the facility’s returns.</w:t>
      </w:r>
    </w:p>
    <w:p>
      <w:pPr>
        <w:spacing w:before="0" w:after="0"/>
        <w:ind w:left="120"/>
        <w:jc w:val="both"/>
      </w:pPr>
      <w:r>
        <w:rPr>
          <w:rFonts w:ascii="Times New Roman" w:hAnsi="Times New Roman"/>
          <w:b w:val="false"/>
          <w:i w:val="false"/>
          <w:color w:val="000000"/>
          <w:sz w:val="22"/>
        </w:rPr>
        <w:t>EXAMPLE 1:</w:t>
      </w:r>
      <w:r>
        <w:rPr>
          <w:rFonts w:ascii="Times New Roman" w:hAnsi="Times New Roman"/>
          <w:b w:val="false"/>
          <w:i w:val="false"/>
          <w:color w:val="000000"/>
          <w:sz w:val="22"/>
        </w:rPr>
        <w:t xml:space="preserve"> An automobile dealership offers a taxable drive-through vehicle wash and wax service in addition to its primary business purpose of selling vehicles. The automobile dealership is a “secondary vehicle wash and wax facility” because the taxable vehicle wash and wax service is offered secondarily to its primary purpose of selling and servicing vehicles. In addition to providing vehicle wash and wax services to the general public (a taxable vehicle wash and wax service), the automobile dealership uses its vehicle wash and wax facility to wash and wax its inventory. Using the vehicle wash and wax facility to wash or wax inventory is not a taxable vehicle wash and wax service because the vehicle wash and wax service is not sold to customers; the service is “consumed” in performance of the automobile dealership’s business operations. </w:t>
      </w:r>
    </w:p>
    <w:p>
      <w:pPr>
        <w:spacing w:before="0" w:after="0"/>
        <w:ind w:left="120"/>
        <w:jc w:val="both"/>
      </w:pPr>
      <w:r>
        <w:rPr>
          <w:rFonts w:ascii="Times New Roman" w:hAnsi="Times New Roman"/>
          <w:b w:val="false"/>
          <w:i w:val="false"/>
          <w:color w:val="000000"/>
          <w:sz w:val="22"/>
        </w:rPr>
        <w:t>The automobile dealership has electricity and water meters that each separately measure the electricity and water used and consumed in using the vehicle wash and wax facility. Although the automobile dealership separately meters electricity and water, the separate meters do not measure only taxable vehicle wash and wax services. Therefore, to claim the exemption, the automobile dealership shall provide the electricity and water retailers with an exemption certificate that states the percentages of water and electricity used in providing taxable vehicle wash and wax services. The electricity and water retailers shall separately state and bill for the taxable and exempt amounts.</w:t>
      </w:r>
    </w:p>
    <w:p>
      <w:pPr>
        <w:spacing w:before="0" w:after="0"/>
        <w:ind w:left="120"/>
        <w:jc w:val="both"/>
      </w:pPr>
      <w:r>
        <w:rPr>
          <w:rFonts w:ascii="Times New Roman" w:hAnsi="Times New Roman"/>
          <w:b w:val="false"/>
          <w:i w:val="false"/>
          <w:color w:val="000000"/>
          <w:sz w:val="22"/>
        </w:rPr>
        <w:t>The automobile dealership also uses some of the chemicals, solvents, sorbents, or reagents while washing and waxing its inventory, so the automobile dealership may either (1) purchase such items without tax liability if the majority of the chemicals, solvents, sorbents, or reagents are used in performing the vehicle wash and wax service and remit the tax at the time such items are consumed in the operation of the primary business, or (2) pay tax to retailers at the time of purchase if the majority of the chemicals, solvents, sorbents, or reagents will be consumed in the operation of the primary business and deduct the original cost of any such items subsequently used in the vehicle wash and wax service when reporting tax on the dealership’s returns.</w:t>
      </w:r>
    </w:p>
    <w:p>
      <w:pPr>
        <w:spacing w:before="0" w:after="0"/>
        <w:ind w:left="120"/>
        <w:jc w:val="both"/>
      </w:pPr>
      <w:r>
        <w:rPr>
          <w:rFonts w:ascii="Times New Roman" w:hAnsi="Times New Roman"/>
          <w:b w:val="false"/>
          <w:i w:val="false"/>
          <w:color w:val="000000"/>
          <w:sz w:val="22"/>
        </w:rPr>
        <w:t>The exemption is available for the quantity of items used in providing the taxable vehicle wash and wax services even though the automobile dealership does not separately itemize on its receipts the amounts of electricity, water, chemicals, solvents, sorbents, or reagents used in providing the taxable vehicle wash and wax services.</w:t>
      </w:r>
    </w:p>
    <w:p>
      <w:pPr>
        <w:spacing w:before="0" w:after="0"/>
        <w:ind w:left="120"/>
        <w:jc w:val="both"/>
      </w:pPr>
      <w:r>
        <w:rPr>
          <w:rFonts w:ascii="Times New Roman" w:hAnsi="Times New Roman"/>
          <w:b w:val="false"/>
          <w:i w:val="false"/>
          <w:color w:val="000000"/>
          <w:sz w:val="22"/>
        </w:rPr>
        <w:t>EXAMPLE 2:</w:t>
      </w:r>
      <w:r>
        <w:rPr>
          <w:rFonts w:ascii="Times New Roman" w:hAnsi="Times New Roman"/>
          <w:b w:val="false"/>
          <w:i w:val="false"/>
          <w:color w:val="000000"/>
          <w:sz w:val="22"/>
        </w:rPr>
        <w:t xml:space="preserve"> A gas station that also sells vehicle wash and wax services does not separately meter the electricity or water used and consumed in providing the taxable vehicle wash and wax services. With the exception of providing vehicle wash and wax services, the gas station does not provide any other additional services. The gas station wants to claim the exemption. To obtain the exemption for electricity or water under this rule, the gas station shall calculate, and has the burden of proving, the amount of exempt electricity or water it uses in providing taxable vehicle wash and wax services. The gas station shall furnish to the electricity or water retailer an exemption certificate that indicates what percentage of the electricity or water is exempt.</w:t>
      </w:r>
    </w:p>
    <w:p>
      <w:pPr>
        <w:spacing w:before="0" w:after="0"/>
        <w:ind w:left="120"/>
        <w:jc w:val="both"/>
      </w:pPr>
      <w:r>
        <w:rPr>
          <w:rFonts w:ascii="Times New Roman" w:hAnsi="Times New Roman"/>
          <w:b w:val="false"/>
          <w:i w:val="false"/>
          <w:color w:val="000000"/>
          <w:sz w:val="22"/>
        </w:rPr>
        <w:t>Additionally, because the gas station only sells gasoline and taxable vehicle wash and wax services, it is unlikely that the gas station will consume the chemicals, solvents, sorbents, or reagents for any purpose other than providing taxable vehicle wash and wax services. Therefore, the sales price of the chemicals, solvents, sorbents, or reagents that the gas station purchased for use in providing taxable vehicle wash and wax services is 100 percent exempt from sales tax. The gas station does not have to provide the retailers of the chemicals, solvents, sorbents, or reagents with an exemption certificate.</w:t>
      </w:r>
    </w:p>
    <w:p>
      <w:pPr>
        <w:spacing w:before="0" w:after="0"/>
        <w:ind w:left="120"/>
        <w:jc w:val="both"/>
      </w:pPr>
      <w:r>
        <w:rPr>
          <w:rFonts w:ascii="Times New Roman" w:hAnsi="Times New Roman"/>
          <w:b w:val="false"/>
          <w:i w:val="false"/>
          <w:color w:val="000000"/>
          <w:sz w:val="22"/>
        </w:rPr>
        <w:t>EXAMPLE 3:</w:t>
      </w:r>
      <w:r>
        <w:rPr>
          <w:rFonts w:ascii="Times New Roman" w:hAnsi="Times New Roman"/>
          <w:b w:val="false"/>
          <w:i w:val="false"/>
          <w:color w:val="000000"/>
          <w:sz w:val="22"/>
        </w:rPr>
        <w:t xml:space="preserve"> Same facts as Example 2, except the gas station does not believe it is feasible to accurately determine the amount of electricity or water usage that can be attributed to the vehicle wash and wax facility. The gas station also does not believe it is economically beneficial to install separate meters to measure the usage of electricity or water for the sole purpose of claiming the exemption. Therefore, the gas station does not claim the exemption and pays sales tax on the full sales price of water or electricity.</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3">
        <w:r>
          <w:rPr>
            <w:rStyle w:val="Hyperlink"/>
            <w:rFonts w:ascii="Times New Roman" w:hAnsi="Times New Roman"/>
            <w:b w:val="false"/>
            <w:i w:val="false"/>
            <w:color w:val="000000"/>
            <w:sz w:val="22"/>
          </w:rPr>
          <w:t>423.3(98)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8164C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701—225.7</w:t>
      </w:r>
      <w:r>
        <w:rPr>
          <w:rFonts w:ascii="Times New Roman" w:hAnsi="Times New Roman"/>
          <w:b/>
          <w:i w:val="false"/>
          <w:color w:val="000000"/>
          <w:sz w:val="22"/>
        </w:rPr>
        <w:t xml:space="preserve">(423) </w:t>
      </w:r>
      <w:r>
        <w:rPr>
          <w:rFonts w:ascii="Times New Roman" w:hAnsi="Times New Roman"/>
          <w:b/>
          <w:i w:val="false"/>
          <w:color w:val="000000"/>
          <w:sz w:val="22"/>
        </w:rPr>
        <w:t xml:space="preserve">Exemption for certain purchases by commercial enterprises. </w:t>
      </w:r>
    </w:p>
    <w:p>
      <w:pPr>
        <w:spacing w:before="0" w:after="0"/>
        <w:ind w:left="120"/>
        <w:jc w:val="both"/>
      </w:pPr>
      <w:r>
        <w:rPr>
          <w:rFonts w:ascii="Times New Roman" w:hAnsi="Times New Roman"/>
          <w:b/>
          <w:i w:val="false"/>
          <w:color w:val="000000"/>
          <w:sz w:val="22"/>
        </w:rPr>
        <w:t>225.7(1)</w:t>
      </w:r>
      <w:r>
        <w:rPr>
          <w:rFonts w:ascii="Times New Roman" w:hAnsi="Times New Roman"/>
          <w:b w:val="false"/>
          <w:i w:val="false"/>
          <w:color w:val="000000"/>
          <w:sz w:val="22"/>
        </w:rPr>
        <w:t> </w:t>
      </w:r>
      <w:r>
        <w:rPr>
          <w:rFonts w:ascii="Times New Roman" w:hAnsi="Times New Roman"/>
          <w:b w:val="false"/>
          <w:i/>
          <w:color w:val="000000"/>
          <w:sz w:val="22"/>
        </w:rPr>
        <w:t xml:space="preserve">Exemption. </w:t>
      </w:r>
      <w:r>
        <w:rPr>
          <w:rFonts w:ascii="Times New Roman" w:hAnsi="Times New Roman"/>
          <w:b w:val="false"/>
          <w:i w:val="false"/>
          <w:color w:val="000000"/>
          <w:sz w:val="22"/>
        </w:rPr>
        <w:t xml:space="preserve">The sales price from the sale of specified digital products and of prewritten computer software sold, and of enumerated services described in Iowa Code section </w:t>
      </w:r>
      <w:hyperlink r:id="rId34">
        <w:r>
          <w:rPr>
            <w:rStyle w:val="Hyperlink"/>
            <w:rFonts w:ascii="Times New Roman" w:hAnsi="Times New Roman"/>
            <w:b w:val="false"/>
            <w:i w:val="false"/>
            <w:color w:val="000000"/>
            <w:sz w:val="22"/>
          </w:rPr>
          <w:t>423.2(1)</w:t>
        </w:r>
      </w:hyperlink>
      <w:r>
        <w:rPr>
          <w:rFonts w:ascii="Times New Roman" w:hAnsi="Times New Roman"/>
          <w:b w:val="false"/>
          <w:i/>
          <w:color w:val="000000"/>
          <w:sz w:val="22"/>
        </w:rPr>
        <w:t>“a”</w:t>
      </w:r>
      <w:r>
        <w:rPr>
          <w:rFonts w:ascii="Times New Roman" w:hAnsi="Times New Roman"/>
          <w:b w:val="false"/>
          <w:i w:val="false"/>
          <w:color w:val="000000"/>
          <w:sz w:val="22"/>
        </w:rPr>
        <w:t xml:space="preserve">(5) or </w:t>
      </w:r>
      <w:hyperlink r:id="rId35">
        <w:r>
          <w:rPr>
            <w:rStyle w:val="Hyperlink"/>
            <w:rFonts w:ascii="Times New Roman" w:hAnsi="Times New Roman"/>
            <w:b w:val="false"/>
            <w:i w:val="false"/>
            <w:color w:val="000000"/>
            <w:sz w:val="22"/>
          </w:rPr>
          <w:t>423.2(6)</w:t>
        </w:r>
      </w:hyperlink>
      <w:r>
        <w:rPr>
          <w:rFonts w:ascii="Times New Roman" w:hAnsi="Times New Roman"/>
          <w:b w:val="false"/>
          <w:i/>
          <w:color w:val="000000"/>
          <w:sz w:val="22"/>
        </w:rPr>
        <w:t>“bq,”</w:t>
      </w:r>
      <w:r>
        <w:rPr>
          <w:rFonts w:ascii="Times New Roman" w:hAnsi="Times New Roman"/>
          <w:b w:val="false"/>
          <w:i/>
          <w:color w:val="000000"/>
          <w:sz w:val="22"/>
        </w:rPr>
        <w:t>“br,”</w:t>
      </w:r>
      <w:r>
        <w:rPr>
          <w:rFonts w:ascii="Times New Roman" w:hAnsi="Times New Roman"/>
          <w:b w:val="false"/>
          <w:i/>
          <w:color w:val="000000"/>
          <w:sz w:val="22"/>
        </w:rPr>
        <w:t>“bs,”</w:t>
      </w:r>
      <w:r>
        <w:rPr>
          <w:rFonts w:ascii="Times New Roman" w:hAnsi="Times New Roman"/>
          <w:b w:val="false"/>
          <w:i w:val="false"/>
          <w:color w:val="000000"/>
          <w:sz w:val="22"/>
        </w:rPr>
        <w:t xml:space="preserve"> and </w:t>
      </w:r>
      <w:r>
        <w:rPr>
          <w:rFonts w:ascii="Times New Roman" w:hAnsi="Times New Roman"/>
          <w:b w:val="false"/>
          <w:i/>
          <w:color w:val="000000"/>
          <w:sz w:val="22"/>
        </w:rPr>
        <w:t>“bu”</w:t>
      </w:r>
      <w:r>
        <w:rPr>
          <w:rFonts w:ascii="Times New Roman" w:hAnsi="Times New Roman"/>
          <w:b w:val="false"/>
          <w:i w:val="false"/>
          <w:color w:val="000000"/>
          <w:sz w:val="22"/>
        </w:rPr>
        <w:t xml:space="preserve"> furnished to a commercial enterprise for use exclusively by a commercial enterprise is exempt from tax.</w:t>
      </w:r>
    </w:p>
    <w:p>
      <w:pPr>
        <w:spacing w:before="0" w:after="0"/>
        <w:ind w:left="120"/>
        <w:jc w:val="both"/>
      </w:pPr>
      <w:r>
        <w:rPr>
          <w:rFonts w:ascii="Times New Roman" w:hAnsi="Times New Roman"/>
          <w:b/>
          <w:i w:val="false"/>
          <w:color w:val="000000"/>
          <w:sz w:val="22"/>
        </w:rPr>
        <w:t>225.7(2)</w:t>
      </w:r>
      <w:r>
        <w:rPr>
          <w:rFonts w:ascii="Times New Roman" w:hAnsi="Times New Roman"/>
          <w:b w:val="false"/>
          <w:i w:val="false"/>
          <w:color w:val="000000"/>
          <w:sz w:val="22"/>
        </w:rPr>
        <w:t> </w:t>
      </w:r>
      <w:r>
        <w:rPr>
          <w:rFonts w:ascii="Times New Roman" w:hAnsi="Times New Roman"/>
          <w:b w:val="false"/>
          <w:i/>
          <w:color w:val="000000"/>
          <w:sz w:val="22"/>
        </w:rPr>
        <w:t xml:space="preserve">Commercial enterprise as purchaser. </w:t>
      </w:r>
      <w:r>
        <w:rPr>
          <w:rFonts w:ascii="Times New Roman" w:hAnsi="Times New Roman"/>
          <w:b w:val="false"/>
          <w:i w:val="false"/>
          <w:color w:val="000000"/>
          <w:sz w:val="22"/>
        </w:rPr>
        <w:t xml:space="preserve">A purchaser seeking this exemption must be a commercial enterprise as defined in Iowa Code section </w:t>
      </w:r>
      <w:hyperlink r:id="rId36">
        <w:r>
          <w:rPr>
            <w:rStyle w:val="Hyperlink"/>
            <w:rFonts w:ascii="Times New Roman" w:hAnsi="Times New Roman"/>
            <w:b w:val="false"/>
            <w:i w:val="false"/>
            <w:color w:val="000000"/>
            <w:sz w:val="22"/>
          </w:rPr>
          <w:t>423.3(104)</w:t>
        </w:r>
      </w:hyperlink>
      <w:r>
        <w:rPr>
          <w:rFonts w:ascii="Times New Roman" w:hAnsi="Times New Roman"/>
          <w:b w:val="false"/>
          <w:i/>
          <w:color w:val="000000"/>
          <w:sz w:val="22"/>
        </w:rPr>
        <w:t>“b”</w:t>
      </w:r>
      <w:r>
        <w:rPr>
          <w:rFonts w:ascii="Times New Roman" w:hAnsi="Times New Roman"/>
          <w:b w:val="false"/>
          <w:i w:val="false"/>
          <w:color w:val="000000"/>
          <w:sz w:val="22"/>
        </w:rPr>
        <w:t xml:space="preserve">(1). For purposes of Iowa Code section </w:t>
      </w:r>
      <w:hyperlink r:id="rId37">
        <w:r>
          <w:rPr>
            <w:rStyle w:val="Hyperlink"/>
            <w:rFonts w:ascii="Times New Roman" w:hAnsi="Times New Roman"/>
            <w:b w:val="false"/>
            <w:i w:val="false"/>
            <w:color w:val="000000"/>
            <w:sz w:val="22"/>
          </w:rPr>
          <w:t>423.3(104)</w:t>
        </w:r>
      </w:hyperlink>
      <w:r>
        <w:rPr>
          <w:rFonts w:ascii="Times New Roman" w:hAnsi="Times New Roman"/>
          <w:b w:val="false"/>
          <w:i/>
          <w:color w:val="000000"/>
          <w:sz w:val="22"/>
        </w:rPr>
        <w:t>“b”</w:t>
      </w:r>
      <w:r>
        <w:rPr>
          <w:rFonts w:ascii="Times New Roman" w:hAnsi="Times New Roman"/>
          <w:b w:val="false"/>
          <w:i w:val="false"/>
          <w:color w:val="000000"/>
          <w:sz w:val="22"/>
        </w:rPr>
        <w:t xml:space="preserve">(1). For purposes of Iowa Code section </w:t>
      </w:r>
      <w:hyperlink r:id="rId38">
        <w:r>
          <w:rPr>
            <w:rStyle w:val="Hyperlink"/>
            <w:rFonts w:ascii="Times New Roman" w:hAnsi="Times New Roman"/>
            <w:b w:val="false"/>
            <w:i w:val="false"/>
            <w:color w:val="000000"/>
            <w:sz w:val="22"/>
          </w:rPr>
          <w:t>423.3(104)</w:t>
        </w:r>
      </w:hyperlink>
      <w:r>
        <w:rPr>
          <w:rFonts w:ascii="Times New Roman" w:hAnsi="Times New Roman"/>
          <w:b w:val="false"/>
          <w:i/>
          <w:color w:val="000000"/>
          <w:sz w:val="22"/>
        </w:rPr>
        <w:t>“b”</w:t>
      </w:r>
      <w:r>
        <w:rPr>
          <w:rFonts w:ascii="Times New Roman" w:hAnsi="Times New Roman"/>
          <w:b w:val="false"/>
          <w:i w:val="false"/>
          <w:color w:val="000000"/>
          <w:sz w:val="22"/>
        </w:rPr>
        <w:t>(1), the following definitions apply:</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Insurance company. </w:t>
      </w:r>
      <w:r>
        <w:rPr>
          <w:rFonts w:ascii="Times New Roman" w:hAnsi="Times New Roman"/>
          <w:b w:val="false"/>
          <w:i w:val="false"/>
          <w:color w:val="000000"/>
          <w:sz w:val="22"/>
        </w:rPr>
        <w:t xml:space="preserve">“Insurance company” means the same as defined in Iowa Code section </w:t>
      </w:r>
      <w:hyperlink r:id="rId39">
        <w:r>
          <w:rPr>
            <w:rStyle w:val="Hyperlink"/>
            <w:rFonts w:ascii="Times New Roman" w:hAnsi="Times New Roman"/>
            <w:b w:val="false"/>
            <w:i w:val="false"/>
            <w:color w:val="000000"/>
            <w:sz w:val="22"/>
          </w:rPr>
          <w:t>423.3(47)</w:t>
        </w:r>
      </w:hyperlink>
      <w:r>
        <w:rPr>
          <w:rFonts w:ascii="Times New Roman" w:hAnsi="Times New Roman"/>
          <w:b w:val="false"/>
          <w:i/>
          <w:color w:val="000000"/>
          <w:sz w:val="22"/>
        </w:rPr>
        <w:t>“d.”</w:t>
      </w:r>
      <w:r>
        <w:rPr>
          <w:rFonts w:ascii="Times New Roman" w:hAnsi="Times New Roman"/>
          <w:b w:val="false"/>
          <w:i w:val="false"/>
          <w:color w:val="000000"/>
          <w:sz w:val="22"/>
        </w:rPr>
        <w:t xml:space="preserve"> Excluded from the definition of "insurance company" is the following nonexhaustive list of entities: benevolent associations governed by Iowa Code chapter </w:t>
      </w:r>
      <w:hyperlink r:id="rId40">
        <w:r>
          <w:rPr>
            <w:rStyle w:val="Hyperlink"/>
            <w:rFonts w:ascii="Times New Roman" w:hAnsi="Times New Roman"/>
            <w:b w:val="false"/>
            <w:i w:val="false"/>
            <w:color w:val="000000"/>
            <w:sz w:val="22"/>
          </w:rPr>
          <w:t>512A</w:t>
        </w:r>
      </w:hyperlink>
      <w:r>
        <w:rPr>
          <w:rFonts w:ascii="Times New Roman" w:hAnsi="Times New Roman"/>
          <w:b w:val="false"/>
          <w:i w:val="false"/>
          <w:color w:val="000000"/>
          <w:sz w:val="22"/>
        </w:rPr>
        <w:t xml:space="preserve">, fraternal benefit societies governed by Iowa Code chapter </w:t>
      </w:r>
      <w:hyperlink r:id="rId41">
        <w:r>
          <w:rPr>
            <w:rStyle w:val="Hyperlink"/>
            <w:rFonts w:ascii="Times New Roman" w:hAnsi="Times New Roman"/>
            <w:b w:val="false"/>
            <w:i w:val="false"/>
            <w:color w:val="000000"/>
            <w:sz w:val="22"/>
          </w:rPr>
          <w:t>512B</w:t>
        </w:r>
      </w:hyperlink>
      <w:r>
        <w:rPr>
          <w:rFonts w:ascii="Times New Roman" w:hAnsi="Times New Roman"/>
          <w:b w:val="false"/>
          <w:i w:val="false"/>
          <w:color w:val="000000"/>
          <w:sz w:val="22"/>
        </w:rPr>
        <w:t xml:space="preserve">, and health maintenance organizations governed by Iowa Code chapter </w:t>
      </w:r>
      <w:hyperlink r:id="rId42">
        <w:r>
          <w:rPr>
            <w:rStyle w:val="Hyperlink"/>
            <w:rFonts w:ascii="Times New Roman" w:hAnsi="Times New Roman"/>
            <w:b w:val="false"/>
            <w:i w:val="false"/>
            <w:color w:val="000000"/>
            <w:sz w:val="22"/>
          </w:rPr>
          <w:t>514B</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Occupation. </w:t>
      </w:r>
      <w:r>
        <w:rPr>
          <w:rFonts w:ascii="Times New Roman" w:hAnsi="Times New Roman"/>
          <w:b w:val="false"/>
          <w:i w:val="false"/>
          <w:color w:val="000000"/>
          <w:sz w:val="22"/>
        </w:rPr>
        <w:t>“Occupation” means the principal business of an individual, such as the business of farming.</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Profession. </w:t>
      </w:r>
      <w:r>
        <w:rPr>
          <w:rFonts w:ascii="Times New Roman" w:hAnsi="Times New Roman"/>
          <w:b w:val="false"/>
          <w:i w:val="false"/>
          <w:color w:val="000000"/>
          <w:sz w:val="22"/>
        </w:rPr>
        <w:t>“Profession” means a vocation or employment requiring specialized knowledge and often long and intensive academic preparation.</w:t>
      </w:r>
    </w:p>
    <w:p>
      <w:pPr>
        <w:spacing w:before="0" w:after="0"/>
        <w:ind w:left="120"/>
        <w:jc w:val="both"/>
      </w:pPr>
      <w:r>
        <w:rPr>
          <w:rFonts w:ascii="Times New Roman" w:hAnsi="Times New Roman"/>
          <w:b/>
          <w:i w:val="false"/>
          <w:color w:val="000000"/>
          <w:sz w:val="22"/>
        </w:rPr>
        <w:t>225.7(3)</w:t>
      </w:r>
      <w:r>
        <w:rPr>
          <w:rFonts w:ascii="Times New Roman" w:hAnsi="Times New Roman"/>
          <w:b w:val="false"/>
          <w:i w:val="false"/>
          <w:color w:val="000000"/>
          <w:sz w:val="22"/>
        </w:rPr>
        <w:t> </w:t>
      </w:r>
      <w:r>
        <w:rPr>
          <w:rFonts w:ascii="Times New Roman" w:hAnsi="Times New Roman"/>
          <w:b w:val="false"/>
          <w:i/>
          <w:color w:val="000000"/>
          <w:sz w:val="22"/>
        </w:rPr>
        <w:t xml:space="preserve">Exclusive use by a commercial enterprise. </w:t>
      </w:r>
      <w:r>
        <w:rPr>
          <w:rFonts w:ascii="Times New Roman" w:hAnsi="Times New Roman"/>
          <w:b w:val="false"/>
          <w:i w:val="false"/>
          <w:color w:val="000000"/>
          <w:sz w:val="22"/>
        </w:rPr>
        <w:t>A commercial enterprise must be the exclusive user of the product. Use in the ordinary course of a commercial enterprise’s business constitutes exclusive use by a commercial enterprise. Uses by all other users, including entities other than commercial enterprises, do not constitute uses by a commercial enterprise.</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Examples of exclusive uses. </w:t>
      </w:r>
      <w:r>
        <w:rPr>
          <w:rFonts w:ascii="Times New Roman" w:hAnsi="Times New Roman"/>
          <w:b w:val="false"/>
          <w:i w:val="false"/>
          <w:color w:val="000000"/>
          <w:sz w:val="22"/>
        </w:rPr>
        <w:t>The following are examples of exclusive uses by a commercial enterprise in the normal course of business:</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Word processing software loaded onto employees’ work computers.</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Software that displays a menu on a tablet used by customers at a restaurant.</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Information services used by temporary employees of a commercial enterprise in the ordinary course of business.</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Examples of disqualifying nonexclusive uses. </w:t>
      </w:r>
      <w:r>
        <w:rPr>
          <w:rFonts w:ascii="Times New Roman" w:hAnsi="Times New Roman"/>
          <w:b w:val="false"/>
          <w:i w:val="false"/>
          <w:color w:val="000000"/>
          <w:sz w:val="22"/>
        </w:rPr>
        <w:t>The following are examples of uses that are not exclusive uses by a commercial enterprise or uses in the ordinary course of business:</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Software shared by a commercial enterprise with an entity that is not a commercial enterprise.</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Video games that customers may purchase on a tablet that is provided at a restaurant for customers to use while waiting for service.</w:t>
      </w:r>
    </w:p>
    <w:p>
      <w:pPr>
        <w:spacing w:before="0" w:after="0"/>
        <w:ind w:left="120"/>
        <w:jc w:val="both"/>
      </w:pPr>
      <w:r>
        <w:rPr>
          <w:rFonts w:ascii="Times New Roman" w:hAnsi="Times New Roman"/>
          <w:b/>
          <w:i w:val="false"/>
          <w:color w:val="000000"/>
          <w:sz w:val="22"/>
        </w:rPr>
        <w:t>225.7(4)</w:t>
      </w:r>
      <w:r>
        <w:rPr>
          <w:rFonts w:ascii="Times New Roman" w:hAnsi="Times New Roman"/>
          <w:b w:val="false"/>
          <w:i w:val="false"/>
          <w:color w:val="000000"/>
          <w:sz w:val="22"/>
        </w:rPr>
        <w:t> </w:t>
      </w:r>
      <w:r>
        <w:rPr>
          <w:rFonts w:ascii="Times New Roman" w:hAnsi="Times New Roman"/>
          <w:b w:val="false"/>
          <w:i/>
          <w:color w:val="000000"/>
          <w:sz w:val="22"/>
        </w:rPr>
        <w:t xml:space="preserve">Noncommercial purposes. </w:t>
      </w:r>
      <w:r>
        <w:rPr>
          <w:rFonts w:ascii="Times New Roman" w:hAnsi="Times New Roman"/>
          <w:b w:val="false"/>
          <w:i w:val="false"/>
          <w:color w:val="000000"/>
          <w:sz w:val="22"/>
        </w:rPr>
        <w:t>“Noncommercial purposes” means purposes that are outside of carrying out the business purpose of a commercial enterprise or purposes outside of the ordinary course of business of a commercial enterprise. The following are examples of uses for noncommercial purposes:</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Personal and recreational use.</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Holding a product for future use for a noncommercial purpose.</w:t>
      </w:r>
    </w:p>
    <w:p>
      <w:pPr>
        <w:spacing w:before="0" w:after="0"/>
        <w:ind w:left="120"/>
        <w:jc w:val="both"/>
      </w:pPr>
      <w:r>
        <w:rPr>
          <w:rFonts w:ascii="Times New Roman" w:hAnsi="Times New Roman"/>
          <w:b/>
          <w:i w:val="false"/>
          <w:color w:val="000000"/>
          <w:sz w:val="22"/>
        </w:rPr>
        <w:t>225.7(5)</w:t>
      </w:r>
      <w:r>
        <w:rPr>
          <w:rFonts w:ascii="Times New Roman" w:hAnsi="Times New Roman"/>
          <w:b w:val="false"/>
          <w:i w:val="false"/>
          <w:color w:val="000000"/>
          <w:sz w:val="22"/>
        </w:rPr>
        <w:t> </w:t>
      </w:r>
      <w:r>
        <w:rPr>
          <w:rFonts w:ascii="Times New Roman" w:hAnsi="Times New Roman"/>
          <w:b w:val="false"/>
          <w:i/>
          <w:color w:val="000000"/>
          <w:sz w:val="22"/>
        </w:rPr>
        <w:t xml:space="preserve">De minimis. </w:t>
      </w:r>
      <w:r>
        <w:rPr>
          <w:rFonts w:ascii="Times New Roman" w:hAnsi="Times New Roman"/>
          <w:b w:val="false"/>
          <w:i w:val="false"/>
          <w:color w:val="000000"/>
          <w:sz w:val="22"/>
        </w:rPr>
        <w:t>“De minimis” means an amount of use of a product for noncommercial purposes that, when considering the product’s value and the frequency with which the use for noncommercial purposes occurs during the product’s total use time, is so small as to make accounting for that use unreasonable or impractical. Whether a use is de minimis is a fact-based determination that shall be made on a case-by-case basis.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3">
        <w:r>
          <w:rPr>
            <w:rStyle w:val="Hyperlink"/>
            <w:rFonts w:ascii="Times New Roman" w:hAnsi="Times New Roman"/>
            <w:b w:val="false"/>
            <w:i w:val="false"/>
            <w:color w:val="000000"/>
            <w:sz w:val="22"/>
          </w:rPr>
          <w:t>423.3(104)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8164C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11/16/05, Notice 10/12/05—published 12/7/05, effective 1/11/06]</w:t>
      </w:r>
    </w:p>
    <w:p>
      <w:pPr>
        <w:spacing w:before="0" w:after="0"/>
        <w:ind w:left="120"/>
        <w:jc w:val="center"/>
      </w:pPr>
      <w:r>
        <w:rPr>
          <w:rFonts w:ascii="Times New Roman" w:hAnsi="Times New Roman"/>
          <w:b w:val="false"/>
          <w:i w:val="false"/>
          <w:color w:val="000000"/>
          <w:sz w:val="21"/>
        </w:rPr>
        <w:t>[Filed ARC 0403C</w:t>
      </w:r>
      <w:r>
        <w:rPr>
          <w:rFonts w:ascii="Times New Roman" w:hAnsi="Times New Roman"/>
          <w:b w:val="false"/>
          <w:i w:val="false"/>
          <w:color w:val="000000"/>
          <w:sz w:val="21"/>
        </w:rPr>
        <w:t xml:space="preserve"> (Notice ARC 0294C, IAB 8/22/12)</w:t>
      </w:r>
      <w:r>
        <w:rPr>
          <w:rFonts w:ascii="Times New Roman" w:hAnsi="Times New Roman"/>
          <w:b w:val="false"/>
          <w:i w:val="false"/>
          <w:color w:val="000000"/>
          <w:sz w:val="21"/>
        </w:rPr>
        <w:t>, IAB 10/17/12, effective 11/21/12]</w:t>
      </w:r>
    </w:p>
    <w:p>
      <w:pPr>
        <w:spacing w:before="0" w:after="0"/>
        <w:ind w:left="120"/>
        <w:jc w:val="center"/>
      </w:pPr>
      <w:r>
        <w:rPr>
          <w:rFonts w:ascii="Times New Roman" w:hAnsi="Times New Roman"/>
          <w:b w:val="false"/>
          <w:i w:val="false"/>
          <w:color w:val="000000"/>
          <w:sz w:val="21"/>
        </w:rPr>
        <w:t>[Filed ARC 4679C</w:t>
      </w:r>
      <w:r>
        <w:rPr>
          <w:rFonts w:ascii="Times New Roman" w:hAnsi="Times New Roman"/>
          <w:b w:val="false"/>
          <w:i w:val="false"/>
          <w:color w:val="000000"/>
          <w:sz w:val="21"/>
        </w:rPr>
        <w:t xml:space="preserve"> (Notice ARC 4562C, IAB 7/31/19)</w:t>
      </w:r>
      <w:r>
        <w:rPr>
          <w:rFonts w:ascii="Times New Roman" w:hAnsi="Times New Roman"/>
          <w:b w:val="false"/>
          <w:i w:val="false"/>
          <w:color w:val="000000"/>
          <w:sz w:val="21"/>
        </w:rPr>
        <w:t>, IAB 9/25/19, effective 10/30/19]</w:t>
      </w:r>
    </w:p>
    <w:p>
      <w:pPr>
        <w:spacing w:before="0" w:after="0"/>
        <w:ind w:left="120"/>
        <w:jc w:val="center"/>
      </w:pPr>
      <w:r>
        <w:rPr>
          <w:rFonts w:ascii="Times New Roman" w:hAnsi="Times New Roman"/>
          <w:b w:val="false"/>
          <w:i w:val="false"/>
          <w:color w:val="000000"/>
          <w:sz w:val="21"/>
        </w:rPr>
        <w:t>[Filed ARC 6704C</w:t>
      </w:r>
      <w:r>
        <w:rPr>
          <w:rFonts w:ascii="Times New Roman" w:hAnsi="Times New Roman"/>
          <w:b w:val="false"/>
          <w:i w:val="false"/>
          <w:color w:val="000000"/>
          <w:sz w:val="21"/>
        </w:rPr>
        <w:t xml:space="preserve"> (Notice ARC 6577C, IAB 10/5/22)</w:t>
      </w:r>
      <w:r>
        <w:rPr>
          <w:rFonts w:ascii="Times New Roman" w:hAnsi="Times New Roman"/>
          <w:b w:val="false"/>
          <w:i w:val="false"/>
          <w:color w:val="000000"/>
          <w:sz w:val="21"/>
        </w:rPr>
        <w:t>, IAB 11/30/22, effective 1/4/23]</w:t>
      </w:r>
    </w:p>
    <w:p>
      <w:pPr>
        <w:spacing w:before="0" w:after="0"/>
        <w:ind w:left="120"/>
        <w:jc w:val="center"/>
      </w:pPr>
      <w:r>
        <w:rPr>
          <w:rFonts w:ascii="Times New Roman" w:hAnsi="Times New Roman"/>
          <w:b w:val="false"/>
          <w:i w:val="false"/>
          <w:color w:val="000000"/>
          <w:sz w:val="21"/>
        </w:rPr>
        <w:t>[Editorial change: IAC Supplement 10/18/23]</w:t>
      </w:r>
    </w:p>
    <w:p>
      <w:pPr>
        <w:spacing w:before="0" w:after="0"/>
        <w:ind w:left="120"/>
        <w:jc w:val="center"/>
      </w:pPr>
      <w:r>
        <w:rPr>
          <w:rFonts w:ascii="Times New Roman" w:hAnsi="Times New Roman"/>
          <w:b w:val="false"/>
          <w:i w:val="false"/>
          <w:color w:val="000000"/>
          <w:sz w:val="21"/>
        </w:rPr>
        <w:t>[Editorial change: IAC Supplement 11/1/23]</w:t>
      </w:r>
    </w:p>
    <w:p>
      <w:pPr>
        <w:spacing w:before="0" w:after="0"/>
        <w:ind w:left="120"/>
        <w:jc w:val="center"/>
      </w:pPr>
      <w:r>
        <w:rPr>
          <w:rFonts w:ascii="Times New Roman" w:hAnsi="Times New Roman"/>
          <w:b w:val="false"/>
          <w:i w:val="false"/>
          <w:color w:val="000000"/>
          <w:sz w:val="21"/>
        </w:rPr>
        <w:t>[Filed ARC 8164C</w:t>
      </w:r>
      <w:r>
        <w:rPr>
          <w:rFonts w:ascii="Times New Roman" w:hAnsi="Times New Roman"/>
          <w:b w:val="false"/>
          <w:i w:val="false"/>
          <w:color w:val="000000"/>
          <w:sz w:val="21"/>
        </w:rPr>
        <w:t xml:space="preserve"> (Notice ARC 7149C, IAB 12/13/23)</w:t>
      </w:r>
      <w:r>
        <w:rPr>
          <w:rFonts w:ascii="Times New Roman" w:hAnsi="Times New Roman"/>
          <w:b w:val="false"/>
          <w:i w:val="false"/>
          <w:color w:val="000000"/>
          <w:sz w:val="21"/>
        </w:rPr>
        <w:t>, IAB 7/24/24, effective 8/28/24]</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423.pdf" Type="http://schemas.openxmlformats.org/officeDocument/2006/relationships/hyperlink" Id="rId4"/>
    <Relationship TargetMode="External" Target="https://www.legis.iowa.gov/docs/ico/chapter/423.pdf" Type="http://schemas.openxmlformats.org/officeDocument/2006/relationships/hyperlink" Id="rId5"/>
    <Relationship TargetMode="External" Target="https://www.legis.iowa.gov/docs/ico/chapter/423.pdf" Type="http://schemas.openxmlformats.org/officeDocument/2006/relationships/hyperlink" Id="rId6"/>
    <Relationship TargetMode="External" Target="https://www.legis.iowa.gov/docs/iac/rule/701.225.3.pdf" Type="http://schemas.openxmlformats.org/officeDocument/2006/relationships/hyperlink" Id="rId7"/>
    <Relationship TargetMode="External" Target="https://www.legis.iowa.gov/docs/ico/chapter/423.pdf" Type="http://schemas.openxmlformats.org/officeDocument/2006/relationships/hyperlink" Id="rId8"/>
    <Relationship TargetMode="External" Target="https://www.legis.iowa.gov/docs/ico/chapter/423.pdf" Type="http://schemas.openxmlformats.org/officeDocument/2006/relationships/hyperlink" Id="rId9"/>
    <Relationship TargetMode="External" Target="https://www.legis.iowa.gov/docs/iac/rule/701.218.2.pdf" Type="http://schemas.openxmlformats.org/officeDocument/2006/relationships/hyperlink" Id="rId10"/>
    <Relationship TargetMode="External" Target="https://www.legis.iowa.gov/docs/ico/chapter/423.pdf" Type="http://schemas.openxmlformats.org/officeDocument/2006/relationships/hyperlink" Id="rId11"/>
    <Relationship TargetMode="External" Target="https://www.legis.iowa.gov/docs/ico/chapter/423.pdf" Type="http://schemas.openxmlformats.org/officeDocument/2006/relationships/hyperlink" Id="rId12"/>
    <Relationship TargetMode="External" Target="https://www.legis.iowa.gov/docs/ico/chapter/423.pdf" Type="http://schemas.openxmlformats.org/officeDocument/2006/relationships/hyperlink" Id="rId13"/>
    <Relationship TargetMode="External" Target="https://www.legis.iowa.gov/docs/ico/chapter/423.pdf" Type="http://schemas.openxmlformats.org/officeDocument/2006/relationships/hyperlink" Id="rId14"/>
    <Relationship TargetMode="External" Target="https://www.legis.iowa.gov/docs/ico/chapter/423.pdf" Type="http://schemas.openxmlformats.org/officeDocument/2006/relationships/hyperlink" Id="rId15"/>
    <Relationship TargetMode="External" Target="https://www.legis.iowa.gov/docs/ico/chapter/423.pdf" Type="http://schemas.openxmlformats.org/officeDocument/2006/relationships/hyperlink" Id="rId16"/>
    <Relationship TargetMode="External" Target="https://www.legis.iowa.gov/docs/ico/chapter/423.pdf" Type="http://schemas.openxmlformats.org/officeDocument/2006/relationships/hyperlink" Id="rId17"/>
    <Relationship TargetMode="External" Target="https://www.legis.iowa.gov/docs/iac/rule/701.221.5.pdf" Type="http://schemas.openxmlformats.org/officeDocument/2006/relationships/hyperlink" Id="rId18"/>
    <Relationship TargetMode="External" Target="https://www.legis.iowa.gov/docs/ico/chapter/423.pdf" Type="http://schemas.openxmlformats.org/officeDocument/2006/relationships/hyperlink" Id="rId19"/>
    <Relationship TargetMode="External" Target="https://www.legis.iowa.gov/docs/ico/chapter/423.pdf" Type="http://schemas.openxmlformats.org/officeDocument/2006/relationships/hyperlink" Id="rId20"/>
    <Relationship TargetMode="External" Target="https://www.legis.iowa.gov/docs/ico/chapter/423.pdf" Type="http://schemas.openxmlformats.org/officeDocument/2006/relationships/hyperlink" Id="rId21"/>
    <Relationship TargetMode="External" Target="https://www.legis.iowa.gov/docs/ico/chapter/423.pdf" Type="http://schemas.openxmlformats.org/officeDocument/2006/relationships/hyperlink" Id="rId22"/>
    <Relationship TargetMode="External" Target="https://www.legis.iowa.gov/docs/ico/chapter/423.pdf" Type="http://schemas.openxmlformats.org/officeDocument/2006/relationships/hyperlink" Id="rId23"/>
    <Relationship TargetMode="External" Target="https://www.legis.iowa.gov/docs/ico/chapter/423.pdf" Type="http://schemas.openxmlformats.org/officeDocument/2006/relationships/hyperlink" Id="rId24"/>
    <Relationship TargetMode="External" Target="https://www.legis.iowa.gov/docs/ico/chapter/423.pdf" Type="http://schemas.openxmlformats.org/officeDocument/2006/relationships/hyperlink" Id="rId25"/>
    <Relationship TargetMode="External" Target="https://www.legis.iowa.gov/docs/ico/chapter/423.pdf" Type="http://schemas.openxmlformats.org/officeDocument/2006/relationships/hyperlink" Id="rId26"/>
    <Relationship TargetMode="External" Target="https://www.legis.iowa.gov/docs/ico/chapter/423.pdf" Type="http://schemas.openxmlformats.org/officeDocument/2006/relationships/hyperlink" Id="rId27"/>
    <Relationship TargetMode="External" Target="https://www.legis.iowa.gov/docs/ico/chapter/423.pdf" Type="http://schemas.openxmlformats.org/officeDocument/2006/relationships/hyperlink" Id="rId28"/>
    <Relationship TargetMode="External" Target="https://www.legis.iowa.gov/docs/iac/chapter/701.200.pdf" Type="http://schemas.openxmlformats.org/officeDocument/2006/relationships/hyperlink" Id="rId29"/>
    <Relationship TargetMode="External" Target="https://www.legis.iowa.gov/docs/ico/chapter/423.pdf" Type="http://schemas.openxmlformats.org/officeDocument/2006/relationships/hyperlink" Id="rId30"/>
    <Relationship TargetMode="External" Target="https://www.legis.iowa.gov/docs/ico/chapter/423.pdf" Type="http://schemas.openxmlformats.org/officeDocument/2006/relationships/hyperlink" Id="rId31"/>
    <Relationship TargetMode="External" Target="https://www.legis.iowa.gov/docs/ico/chapter/321.pdf" Type="http://schemas.openxmlformats.org/officeDocument/2006/relationships/hyperlink" Id="rId32"/>
    <Relationship TargetMode="External" Target="https://www.legis.iowa.gov/docs/ico/chapter/423.pdf" Type="http://schemas.openxmlformats.org/officeDocument/2006/relationships/hyperlink" Id="rId33"/>
    <Relationship TargetMode="External" Target="https://www.legis.iowa.gov/docs/ico/chapter/423.pdf" Type="http://schemas.openxmlformats.org/officeDocument/2006/relationships/hyperlink" Id="rId34"/>
    <Relationship TargetMode="External" Target="https://www.legis.iowa.gov/docs/ico/chapter/423.pdf" Type="http://schemas.openxmlformats.org/officeDocument/2006/relationships/hyperlink" Id="rId35"/>
    <Relationship TargetMode="External" Target="https://www.legis.iowa.gov/docs/ico/chapter/423.pdf" Type="http://schemas.openxmlformats.org/officeDocument/2006/relationships/hyperlink" Id="rId36"/>
    <Relationship TargetMode="External" Target="https://www.legis.iowa.gov/docs/ico/chapter/423.pdf" Type="http://schemas.openxmlformats.org/officeDocument/2006/relationships/hyperlink" Id="rId37"/>
    <Relationship TargetMode="External" Target="https://www.legis.iowa.gov/docs/ico/chapter/423.pdf" Type="http://schemas.openxmlformats.org/officeDocument/2006/relationships/hyperlink" Id="rId38"/>
    <Relationship TargetMode="External" Target="https://www.legis.iowa.gov/docs/ico/chapter/423.pdf" Type="http://schemas.openxmlformats.org/officeDocument/2006/relationships/hyperlink" Id="rId39"/>
    <Relationship TargetMode="External" Target="https://www.legis.iowa.gov/docs/ico/chapter/512A.pdf" Type="http://schemas.openxmlformats.org/officeDocument/2006/relationships/hyperlink" Id="rId40"/>
    <Relationship TargetMode="External" Target="https://www.legis.iowa.gov/docs/ico/chapter/512B.pdf" Type="http://schemas.openxmlformats.org/officeDocument/2006/relationships/hyperlink" Id="rId41"/>
    <Relationship TargetMode="External" Target="https://www.legis.iowa.gov/docs/ico/chapter/514B.pdf" Type="http://schemas.openxmlformats.org/officeDocument/2006/relationships/hyperlink" Id="rId42"/>
    <Relationship TargetMode="External" Target="https://www.legis.iowa.gov/docs/ico/chapter/423.pdf" Type="http://schemas.openxmlformats.org/officeDocument/2006/relationships/hyperlink" Id="rId4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