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209</w:t>
      </w:r>
    </w:p>
    <w:p>
      <w:pPr>
        <w:spacing w:before="0" w:after="0"/>
        <w:ind w:left="120"/>
        <w:jc w:val="center"/>
      </w:pPr>
      <w:r>
        <w:rPr>
          <w:rFonts w:ascii="Times New Roman" w:hAnsi="Times New Roman"/>
          <w:b w:val="false"/>
          <w:i w:val="false"/>
          <w:color w:val="000000"/>
          <w:sz w:val="21"/>
        </w:rPr>
        <w:t>EXEMPTION CERTIFICATES</w:t>
      </w:r>
    </w:p>
    <w:p>
      <w:pPr>
        <w:spacing w:before="0" w:after="0"/>
        <w:ind w:left="120"/>
        <w:jc w:val="both"/>
      </w:pPr>
      <w:r>
        <w:rPr>
          <w:rFonts w:ascii="Times New Roman" w:hAnsi="Times New Roman"/>
          <w:b/>
          <w:i w:val="false"/>
          <w:color w:val="000000"/>
          <w:sz w:val="22"/>
        </w:rPr>
        <w:t>701—209.1</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certificates. </w:t>
      </w:r>
    </w:p>
    <w:p>
      <w:pPr>
        <w:spacing w:before="0" w:after="0"/>
        <w:ind w:left="120"/>
        <w:jc w:val="both"/>
      </w:pPr>
      <w:r>
        <w:rPr>
          <w:rFonts w:ascii="Times New Roman" w:hAnsi="Times New Roman"/>
          <w:b/>
          <w:i w:val="false"/>
          <w:color w:val="000000"/>
          <w:sz w:val="22"/>
        </w:rPr>
        <w:t>209.1(1)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 valid exemption certificate, whether furnished by the department or a seller, must be fully completed, dated, and signed if a paper certificate is used.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fully completed exemption certificate must include the following information: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Name of both the purchaser and seller.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purchaser’s address and type of business (e.g., retailer, manufacturer).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Reason for tax-exempt purchase (e.g., resale, processing).</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required, purchaser’s identification number (e.g., Iowa-issued sales and use tax permit, another state’s issued sales tax identification number, and Federal Employer Identification Number).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Either a fully completed exemption certificate or capture of the data elements listed in </w:t>
      </w:r>
      <w:hyperlink r:id="rId4">
        <w:r>
          <w:rPr>
            <w:rStyle w:val="Hyperlink"/>
            <w:rFonts w:ascii="Times New Roman" w:hAnsi="Times New Roman"/>
            <w:b w:val="false"/>
            <w:i w:val="false"/>
            <w:color w:val="000000"/>
            <w:sz w:val="22"/>
          </w:rPr>
          <w:t>paragraph 209.1(1)</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be obtained at the time of sale or within 90 days subsequent to the date of sale.</w:t>
      </w:r>
    </w:p>
    <w:p>
      <w:pPr>
        <w:spacing w:before="0" w:after="0"/>
        <w:ind w:left="120"/>
        <w:jc w:val="both"/>
      </w:pPr>
      <w:r>
        <w:rPr>
          <w:rFonts w:ascii="Times New Roman" w:hAnsi="Times New Roman"/>
          <w:b/>
          <w:i w:val="false"/>
          <w:color w:val="000000"/>
          <w:sz w:val="22"/>
        </w:rPr>
        <w:t>209.1(2)</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 xml:space="preserve">The sales tax liability is on both the seller and purchaser; however, a seller is relieved of the liability if the seller obtains a fully completed exemption certificate or captures all the data elements listed in </w:t>
      </w:r>
      <w:hyperlink r:id="rId5">
        <w:r>
          <w:rPr>
            <w:rStyle w:val="Hyperlink"/>
            <w:rFonts w:ascii="Times New Roman" w:hAnsi="Times New Roman"/>
            <w:b w:val="false"/>
            <w:i w:val="false"/>
            <w:color w:val="000000"/>
            <w:sz w:val="22"/>
          </w:rPr>
          <w:t>paragraph 209.1(1)</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no exemption certificate or the data elements are obtained within 90 days of the sale, a seller obligated to collect tax from a purchaser is relieved of liability if the seller obtains a fully completed exemption certificate taken in good faith or provides proof the transaction was not subject to tax within 120 days of the department’s request for substantiation.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No liability relief is available for sellers who do any of the listed activities in Iowa Code section </w:t>
      </w:r>
      <w:hyperlink r:id="rId6">
        <w:r>
          <w:rPr>
            <w:rStyle w:val="Hyperlink"/>
            <w:rFonts w:ascii="Times New Roman" w:hAnsi="Times New Roman"/>
            <w:b w:val="false"/>
            <w:i w:val="false"/>
            <w:color w:val="000000"/>
            <w:sz w:val="22"/>
          </w:rPr>
          <w:t>423.51(2)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tangible personal property, specified digital products, or services that are specifically exempt from tax under the Iowa Code need not be evidenced by an exemption certificate. However, if certificates are given to support these transactions, they do not relieve the purchaser of the responsibility for tax if at some later time the transaction is determined to be taxable.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person who is selling tangible personal property, specified digital products, or services, but who does not make any taxable sales at retail, is not required to hold a permit. When this person purchases tangible personal property, specified digital products, or services for resale, the person shall furnish a certificate in accordance with these rules to the supplier stating that the property or services were purchased for the purpose of resale.</w:t>
      </w:r>
    </w:p>
    <w:p>
      <w:pPr>
        <w:spacing w:before="0" w:after="0"/>
        <w:ind w:left="120"/>
        <w:jc w:val="both"/>
      </w:pPr>
      <w:r>
        <w:rPr>
          <w:rFonts w:ascii="Times New Roman" w:hAnsi="Times New Roman"/>
          <w:b/>
          <w:i w:val="false"/>
          <w:color w:val="000000"/>
          <w:sz w:val="22"/>
        </w:rPr>
        <w:t>209.1(3)</w:t>
      </w:r>
      <w:r>
        <w:rPr>
          <w:rFonts w:ascii="Times New Roman" w:hAnsi="Times New Roman"/>
          <w:b w:val="false"/>
          <w:i w:val="false"/>
          <w:color w:val="000000"/>
          <w:sz w:val="22"/>
        </w:rPr>
        <w:t> </w:t>
      </w:r>
      <w:r>
        <w:rPr>
          <w:rFonts w:ascii="Times New Roman" w:hAnsi="Times New Roman"/>
          <w:b w:val="false"/>
          <w:i/>
          <w:color w:val="000000"/>
          <w:sz w:val="22"/>
        </w:rPr>
        <w:t xml:space="preserve">Other acceptable forms. </w:t>
      </w:r>
      <w:r>
        <w:rPr>
          <w:rFonts w:ascii="Times New Roman" w:hAnsi="Times New Roman"/>
          <w:b w:val="false"/>
          <w:i w:val="false"/>
          <w:color w:val="000000"/>
          <w:sz w:val="22"/>
        </w:rPr>
        <w:t xml:space="preserve">Purchasers may also use a Multistate Tax Commission’s Uniform Sales &amp; Use Tax Resale Certificate, available at </w:t>
      </w:r>
      <w:hyperlink r:id="rId7">
        <w:r>
          <w:rPr>
            <w:rStyle w:val="Hyperlink"/>
            <w:rFonts w:ascii="Times New Roman" w:hAnsi="Times New Roman"/>
            <w:b w:val="false"/>
            <w:i w:val="false"/>
            <w:color w:val="000000"/>
            <w:sz w:val="22"/>
            <w:u w:val="single"/>
          </w:rPr>
          <w:t>mtc.gov</w:t>
        </w:r>
      </w:hyperlink>
      <w:r>
        <w:rPr>
          <w:rFonts w:ascii="Times New Roman" w:hAnsi="Times New Roman"/>
          <w:b w:val="false"/>
          <w:i w:val="false"/>
          <w:color w:val="000000"/>
          <w:sz w:val="22"/>
        </w:rPr>
        <w:t xml:space="preserve">, or a Streamlined Sales Tax Agreement Certificate of Exemption, available on the department’s website or at </w:t>
      </w:r>
      <w:hyperlink r:id="rId8">
        <w:r>
          <w:rPr>
            <w:rStyle w:val="Hyperlink"/>
            <w:rFonts w:ascii="Times New Roman" w:hAnsi="Times New Roman"/>
            <w:b w:val="false"/>
            <w:i w:val="false"/>
            <w:color w:val="000000"/>
            <w:sz w:val="22"/>
            <w:u w:val="single"/>
          </w:rPr>
          <w:t>streamlinedsalestax.org</w:t>
        </w:r>
      </w:hyperlink>
      <w:r>
        <w:rPr>
          <w:rFonts w:ascii="Times New Roman" w:hAnsi="Times New Roman"/>
          <w:b w:val="false"/>
          <w:i w:val="false"/>
          <w:color w:val="000000"/>
          <w:sz w:val="22"/>
        </w:rPr>
        <w:t>, as an alternative to a department-issued certificate.</w:t>
      </w:r>
    </w:p>
    <w:p>
      <w:pPr>
        <w:spacing w:before="0" w:after="0"/>
        <w:ind w:left="120"/>
        <w:jc w:val="both"/>
      </w:pPr>
      <w:r>
        <w:rPr>
          <w:rFonts w:ascii="Times New Roman" w:hAnsi="Times New Roman"/>
          <w:b/>
          <w:i w:val="false"/>
          <w:color w:val="000000"/>
          <w:sz w:val="22"/>
        </w:rPr>
        <w:t>209.1(4)</w:t>
      </w:r>
      <w:r>
        <w:rPr>
          <w:rFonts w:ascii="Times New Roman" w:hAnsi="Times New Roman"/>
          <w:b w:val="false"/>
          <w:i w:val="false"/>
          <w:color w:val="000000"/>
          <w:sz w:val="22"/>
        </w:rPr>
        <w:t> </w:t>
      </w:r>
      <w:r>
        <w:rPr>
          <w:rFonts w:ascii="Times New Roman" w:hAnsi="Times New Roman"/>
          <w:b w:val="false"/>
          <w:i/>
          <w:color w:val="000000"/>
          <w:sz w:val="22"/>
        </w:rPr>
        <w:t xml:space="preserve">Blanket certificates. </w:t>
      </w:r>
      <w:r>
        <w:rPr>
          <w:rFonts w:ascii="Times New Roman" w:hAnsi="Times New Roman"/>
          <w:b w:val="false"/>
          <w:i w:val="false"/>
          <w:color w:val="000000"/>
          <w:sz w:val="22"/>
        </w:rPr>
        <w:t xml:space="preserve">Sellers and purchasers with a recurring business relationship, as described in Iowa Code section </w:t>
      </w:r>
      <w:hyperlink r:id="rId9">
        <w:r>
          <w:rPr>
            <w:rStyle w:val="Hyperlink"/>
            <w:rFonts w:ascii="Times New Roman" w:hAnsi="Times New Roman"/>
            <w:b w:val="false"/>
            <w:i w:val="false"/>
            <w:color w:val="000000"/>
            <w:sz w:val="22"/>
          </w:rPr>
          <w:t>423.51(3)</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use blanket exemption certificates covering more than one transaction. Blanket exemption certificates remain effective until canceled by the purchaser or until 12 months elapse with no purchases between the same purchaser and seller.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701—209.2</w:t>
      </w:r>
      <w:r>
        <w:rPr>
          <w:rFonts w:ascii="Times New Roman" w:hAnsi="Times New Roman"/>
          <w:b/>
          <w:i w:val="false"/>
          <w:color w:val="000000"/>
          <w:sz w:val="22"/>
        </w:rPr>
        <w:t xml:space="preserve">(423) </w:t>
      </w:r>
      <w:r>
        <w:rPr>
          <w:rFonts w:ascii="Times New Roman" w:hAnsi="Times New Roman"/>
          <w:b/>
          <w:i w:val="false"/>
          <w:color w:val="000000"/>
          <w:sz w:val="22"/>
        </w:rPr>
        <w:t xml:space="preserve">Fuel exemption certificates. </w:t>
      </w:r>
    </w:p>
    <w:p>
      <w:pPr>
        <w:spacing w:before="0" w:after="0"/>
        <w:ind w:left="120"/>
        <w:jc w:val="both"/>
      </w:pPr>
      <w:r>
        <w:rPr>
          <w:rFonts w:ascii="Times New Roman" w:hAnsi="Times New Roman"/>
          <w:b/>
          <w:i w:val="false"/>
          <w:color w:val="000000"/>
          <w:sz w:val="22"/>
        </w:rPr>
        <w:t>209.2(1)</w:t>
      </w:r>
      <w:r>
        <w:rPr>
          <w:rFonts w:ascii="Times New Roman" w:hAnsi="Times New Roman"/>
          <w:b w:val="false"/>
          <w:i w:val="false"/>
          <w:color w:val="000000"/>
          <w:sz w:val="22"/>
        </w:rPr>
        <w:t> </w:t>
      </w:r>
      <w:r>
        <w:rPr>
          <w:rFonts w:ascii="Times New Roman" w:hAnsi="Times New Roman"/>
          <w:b w:val="false"/>
          <w:i/>
          <w:color w:val="000000"/>
          <w:sz w:val="22"/>
        </w:rPr>
        <w:t xml:space="preserve">Use of fuel exemption certificates. </w:t>
      </w:r>
      <w:r>
        <w:rPr>
          <w:rFonts w:ascii="Times New Roman" w:hAnsi="Times New Roman"/>
          <w:b w:val="false"/>
          <w:i w:val="false"/>
          <w:color w:val="000000"/>
          <w:sz w:val="22"/>
        </w:rPr>
        <w:t xml:space="preserve">The use and acceptance of fuel exemption certificates must comply with Iowa Code section </w:t>
      </w:r>
      <w:hyperlink r:id="rId12">
        <w:r>
          <w:rPr>
            <w:rStyle w:val="Hyperlink"/>
            <w:rFonts w:ascii="Times New Roman" w:hAnsi="Times New Roman"/>
            <w:b w:val="false"/>
            <w:i w:val="false"/>
            <w:color w:val="000000"/>
            <w:sz w:val="22"/>
          </w:rPr>
          <w:t>423.45(5)</w:t>
        </w:r>
      </w:hyperlink>
      <w:r>
        <w:rPr>
          <w:rFonts w:ascii="Times New Roman" w:hAnsi="Times New Roman"/>
          <w:b w:val="false"/>
          <w:i w:val="false"/>
          <w:color w:val="000000"/>
          <w:sz w:val="22"/>
        </w:rPr>
        <w:t xml:space="preserve">. For purposes of this subrule, terms mean the same as defined in Iowa Code section </w:t>
      </w:r>
      <w:hyperlink r:id="rId13">
        <w:r>
          <w:rPr>
            <w:rStyle w:val="Hyperlink"/>
            <w:rFonts w:ascii="Times New Roman" w:hAnsi="Times New Roman"/>
            <w:b w:val="false"/>
            <w:i w:val="false"/>
            <w:color w:val="000000"/>
            <w:sz w:val="22"/>
          </w:rPr>
          <w:t>423.45(5).</w:t>
        </w:r>
      </w:hyperlink>
    </w:p>
    <w:p>
      <w:pPr>
        <w:spacing w:before="0" w:after="0"/>
        <w:ind w:left="120"/>
        <w:jc w:val="both"/>
      </w:pPr>
      <w:r>
        <w:rPr>
          <w:rFonts w:ascii="Times New Roman" w:hAnsi="Times New Roman"/>
          <w:b/>
          <w:i w:val="false"/>
          <w:color w:val="000000"/>
          <w:sz w:val="22"/>
        </w:rPr>
        <w:t>209.2(2)</w:t>
      </w:r>
      <w:r>
        <w:rPr>
          <w:rFonts w:ascii="Times New Roman" w:hAnsi="Times New Roman"/>
          <w:b w:val="false"/>
          <w:i w:val="false"/>
          <w:color w:val="000000"/>
          <w:sz w:val="22"/>
        </w:rPr>
        <w:t> </w:t>
      </w:r>
      <w:r>
        <w:rPr>
          <w:rFonts w:ascii="Times New Roman" w:hAnsi="Times New Roman"/>
          <w:b w:val="false"/>
          <w:i/>
          <w:color w:val="000000"/>
          <w:sz w:val="22"/>
        </w:rPr>
        <w:t xml:space="preserve">Necessary information. </w:t>
      </w:r>
      <w:r>
        <w:rPr>
          <w:rFonts w:ascii="Times New Roman" w:hAnsi="Times New Roman"/>
          <w:b w:val="false"/>
          <w:i w:val="false"/>
          <w:color w:val="000000"/>
          <w:sz w:val="22"/>
        </w:rPr>
        <w:t xml:space="preserve">A fuel exemption certificate, as defined in Iowa Code section </w:t>
      </w:r>
      <w:hyperlink r:id="rId14">
        <w:r>
          <w:rPr>
            <w:rStyle w:val="Hyperlink"/>
            <w:rFonts w:ascii="Times New Roman" w:hAnsi="Times New Roman"/>
            <w:b w:val="false"/>
            <w:i w:val="false"/>
            <w:color w:val="000000"/>
            <w:sz w:val="22"/>
          </w:rPr>
          <w:t>423.45(5)</w:t>
        </w:r>
      </w:hyperlink>
      <w:r>
        <w:rPr>
          <w:rFonts w:ascii="Times New Roman" w:hAnsi="Times New Roman"/>
          <w:b w:val="false"/>
          <w:i w:val="false"/>
          <w:color w:val="000000"/>
          <w:sz w:val="22"/>
        </w:rPr>
        <w:t xml:space="preserve">, must be dated and contain the following information, including but not limited to: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seller’s name and address;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purchaser’s name and address;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type of fuel purchased, such as electricity or propane;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Description of the purchaser’s business, such as farmer or manufacturer;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general description of the type of processing in which the fuel is consumer, such as grain drying, raising livestock, generating electricity, or the manufacture of tangible personal property;</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Claimed exemption percentage.</w:t>
      </w:r>
    </w:p>
    <w:p>
      <w:pPr>
        <w:spacing w:before="0" w:after="0"/>
        <w:ind w:left="120"/>
        <w:jc w:val="both"/>
      </w:pPr>
      <w:r>
        <w:rPr>
          <w:rFonts w:ascii="Times New Roman" w:hAnsi="Times New Roman"/>
          <w:b/>
          <w:i w:val="false"/>
          <w:color w:val="000000"/>
          <w:sz w:val="22"/>
        </w:rPr>
        <w:t>209.2(3)</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r>
        <w:rPr>
          <w:rFonts w:ascii="Times New Roman" w:hAnsi="Times New Roman"/>
          <w:b w:val="false"/>
          <w:i w:val="false"/>
          <w:color w:val="000000"/>
          <w:sz w:val="22"/>
        </w:rPr>
        <w:t xml:space="preserve">The seller may demand from the purchaser additional documentation attached to the fuel exemption certificate, which is reasonably necessary to support the claim of exemption for fuel consumed in processing; however, additional documentation is not required under the circumstances listed in Iowa Code section </w:t>
      </w:r>
      <w:hyperlink r:id="rId15">
        <w:r>
          <w:rPr>
            <w:rStyle w:val="Hyperlink"/>
            <w:rFonts w:ascii="Times New Roman" w:hAnsi="Times New Roman"/>
            <w:b w:val="false"/>
            <w:i w:val="false"/>
            <w:color w:val="000000"/>
            <w:sz w:val="22"/>
          </w:rPr>
          <w:t>423.45(5)</w:t>
        </w:r>
      </w:hyperlink>
      <w:r>
        <w:rPr>
          <w:rFonts w:ascii="Times New Roman" w:hAnsi="Times New Roman"/>
          <w:b w:val="false"/>
          <w:i/>
          <w:color w:val="000000"/>
          <w:sz w:val="22"/>
        </w:rPr>
        <w:t>“f.”</w:t>
      </w:r>
      <w:r>
        <w:rPr>
          <w:rFonts w:ascii="Times New Roman" w:hAnsi="Times New Roman"/>
          <w:b w:val="false"/>
          <w:i w:val="false"/>
          <w:color w:val="000000"/>
          <w:sz w:val="22"/>
        </w:rPr>
        <w:t xml:space="preserve"> In the absence of separate metering, documentation reasonably necessary to support a claim for exemption must consist of either an electrical consultant’s survey or of a document prepared by the purchaser in accordance with the requirements of </w:t>
      </w:r>
      <w:hyperlink r:id="rId16">
        <w:r>
          <w:rPr>
            <w:rStyle w:val="Hyperlink"/>
            <w:rFonts w:ascii="Times New Roman" w:hAnsi="Times New Roman"/>
            <w:b w:val="false"/>
            <w:i w:val="false"/>
            <w:color w:val="000000"/>
            <w:sz w:val="22"/>
          </w:rPr>
          <w:t>subrule 209.2(5)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209.2(4)</w:t>
      </w:r>
      <w:r>
        <w:rPr>
          <w:rFonts w:ascii="Times New Roman" w:hAnsi="Times New Roman"/>
          <w:b w:val="false"/>
          <w:i w:val="false"/>
          <w:color w:val="000000"/>
          <w:sz w:val="22"/>
        </w:rPr>
        <w:t> </w:t>
      </w:r>
      <w:r>
        <w:rPr>
          <w:rFonts w:ascii="Times New Roman" w:hAnsi="Times New Roman"/>
          <w:b w:val="false"/>
          <w:i/>
          <w:color w:val="000000"/>
          <w:sz w:val="22"/>
        </w:rPr>
        <w:t xml:space="preserve">Exemption determination. </w:t>
      </w:r>
      <w:r>
        <w:rPr>
          <w:rFonts w:ascii="Times New Roman" w:hAnsi="Times New Roman"/>
          <w:b w:val="false"/>
          <w:i w:val="false"/>
          <w:color w:val="000000"/>
          <w:sz w:val="22"/>
        </w:rPr>
        <w:t xml:space="preserve">When the amount of the exemption is modified pursuant to Iowa Code section </w:t>
      </w:r>
      <w:hyperlink r:id="rId17">
        <w:r>
          <w:rPr>
            <w:rStyle w:val="Hyperlink"/>
            <w:rFonts w:ascii="Times New Roman" w:hAnsi="Times New Roman"/>
            <w:b w:val="false"/>
            <w:i w:val="false"/>
            <w:color w:val="000000"/>
            <w:sz w:val="22"/>
          </w:rPr>
          <w:t>423.45(5)</w:t>
        </w:r>
      </w:hyperlink>
      <w:r>
        <w:rPr>
          <w:rFonts w:ascii="Times New Roman" w:hAnsi="Times New Roman"/>
          <w:b w:val="false"/>
          <w:i/>
          <w:color w:val="000000"/>
          <w:sz w:val="22"/>
        </w:rPr>
        <w:t>“d,”</w:t>
      </w:r>
      <w:r>
        <w:rPr>
          <w:rFonts w:ascii="Times New Roman" w:hAnsi="Times New Roman"/>
          <w:b w:val="false"/>
          <w:i w:val="false"/>
          <w:color w:val="000000"/>
          <w:sz w:val="22"/>
        </w:rPr>
        <w:t xml:space="preserve"> a purchaser must notify the seller of any change in percentage.</w:t>
      </w:r>
    </w:p>
    <w:p>
      <w:pPr>
        <w:spacing w:before="0" w:after="0"/>
        <w:ind w:left="120"/>
        <w:jc w:val="both"/>
      </w:pPr>
      <w:r>
        <w:rPr>
          <w:rFonts w:ascii="Times New Roman" w:hAnsi="Times New Roman"/>
          <w:b/>
          <w:i w:val="false"/>
          <w:color w:val="000000"/>
          <w:sz w:val="22"/>
        </w:rPr>
        <w:t>209.2(5)</w:t>
      </w:r>
      <w:r>
        <w:rPr>
          <w:rFonts w:ascii="Times New Roman" w:hAnsi="Times New Roman"/>
          <w:b w:val="false"/>
          <w:i w:val="false"/>
          <w:color w:val="000000"/>
          <w:sz w:val="22"/>
        </w:rPr>
        <w:t> </w:t>
      </w:r>
      <w:r>
        <w:rPr>
          <w:rFonts w:ascii="Times New Roman" w:hAnsi="Times New Roman"/>
          <w:b w:val="false"/>
          <w:i/>
          <w:color w:val="000000"/>
          <w:sz w:val="22"/>
        </w:rPr>
        <w:t xml:space="preserve">Determining percentage of electricity used in processing. </w:t>
      </w:r>
      <w:r>
        <w:rPr>
          <w:rFonts w:ascii="Times New Roman" w:hAnsi="Times New Roman"/>
          <w:b w:val="false"/>
          <w:i w:val="false"/>
          <w:color w:val="000000"/>
          <w:sz w:val="22"/>
        </w:rPr>
        <w:t xml:space="preserve">When electricity is purchased for consumption both for processing and for taxable uses, and the use of the electricity is recorded on a single meter, the purchaser must allocate the use of the electricity according to taxable and nontaxable consumption if an exemption for nontaxable use is to be claimed. The calculations that support the allocation, if properly performed, can serve as the documentation reasonably necessary to support a claim of exemption for fuel used in processing. The following method with its alternative table may be used to determine the percentage of electricity used on the farm or in a factory that is exempt by virtue of its being used in processing. Paragraph </w:t>
      </w:r>
      <w:hyperlink r:id="rId18">
        <w:r>
          <w:rPr>
            <w:rStyle w:val="Hyperlink"/>
            <w:rFonts w:ascii="Times New Roman" w:hAnsi="Times New Roman"/>
            <w:b w:val="false"/>
            <w:i w:val="false"/>
            <w:color w:val="000000"/>
            <w:sz w:val="22"/>
          </w:rPr>
          <w:t>209.2(5)</w:t>
        </w:r>
      </w:hyperlink>
      <w:r>
        <w:rPr>
          <w:rFonts w:ascii="Times New Roman" w:hAnsi="Times New Roman"/>
          <w:b w:val="false"/>
          <w:i/>
          <w:color w:val="000000"/>
          <w:sz w:val="22"/>
        </w:rPr>
        <w:t>“e”</w:t>
      </w:r>
      <w:r>
        <w:rPr>
          <w:rFonts w:ascii="Times New Roman" w:hAnsi="Times New Roman"/>
          <w:b w:val="false"/>
          <w:i w:val="false"/>
          <w:color w:val="000000"/>
          <w:sz w:val="22"/>
        </w:rPr>
        <w:t xml:space="preserve"> provides information on alternative methods of computing exempt use, including exempt use by a new business. First, the base period for the calculations must be selected.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Ordinarily, the 12 months previous to the date upon which the exemption is calculated are used as the base period for determining the percentage of electricity exempt as used in processing. The immediately previous 12-month period is used because it is a span of time that is (1) recent enough to accurately reflect future electric usage; (2) extended enough to take into account variations in electrical usage resulting from changes in temperature occurring with the seasons; and (3) is not so long as to require unduly burdensome calculations. However, individual circumstances can dictate that a shorter or longer period than 12 months will be used or that some 12-month period other than that immediately previous to the date upon which the exemption certificate is filed, will be used.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Farmer A files a fuel exemption certificate for the period beginning January 1, 2022. The year 2021 had a very mild winter, a relatively cool summer, and a very dry autumn. Farmer A uses no electricity for grain drying and substantially less electricity than usual for heating and cooling his livestock buildings. Farmer A must use a 12-month period that is more representative of his usual exempt electrical consumption than that of January through December 2021.</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Company A manufactures its product in a factory that has no windows and is heavily insulated. The factory always runs 40 hours per week, 52 weeks per year. Because of these and other circumstances, Company A’s electrical usage does not vary significantly from month to month, and it is easy enough to document this. Company A can calculate its percentage of exempt use of electricity based on a one-month, rather than a 12-month, period.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Company B manufactures widgets. The “economic cycle” for widget production is, on average, 36 months long. During this economic cycle, there are times when, for months at a time, the factory will operate three shifts. At other times, for weeks at a time, the entire factory will be shut down and its personnel laid off. The only accurate way to determine the exempt percentage of electricity used is to calculate electrical use over the entire economic cycle. Therefore, 36 months, rather than 12 months, would be the base period.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Calculating kilowatts used per hour by various electrical devices. The first step in computing the percentage of exemption is to determine the number of kilowatts used per hour for each device in the farm or factory. If kilowatts consumed per hour of a device’s use is not listed on the device or otherwise readily obtainable, formulas can be used to determine this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Lights. For incandescent bulbs, add rated wattages and divide by 1,000. For fluorescent lights, add rated wattages plus an additional 20 percent of rated wattages, then divide by 1,000.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Incandescent Lights:</w:t>
      </w:r>
    </w:p>
    <w:tbl>
      <w:tblPr>
        <w:tblW w:w="0" w:type="auto"/>
        <w:tblCellSpacing w:w="0" w:type="auto"/>
        <w:tblBorders>
          <w:top w:val="none"/>
          <w:left w:val="none"/>
          <w:bottom w:val="none"/>
          <w:right w:val="none"/>
          <w:insideH w:val="none"/>
          <w:insideV w:val="none"/>
        </w:tblBorders>
        <w:tblLayout w:type="fixed"/>
      </w:tblPr>
      <w:tblGrid>
        <w:gridCol w:w="3389"/>
        <w:gridCol w:w="872"/>
        <w:gridCol w:w="1026"/>
        <w:gridCol w:w="2391"/>
        <w:gridCol w:w="3511"/>
      </w:tblGrid>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Watts</w:t>
            </w:r>
          </w:p>
        </w:tc>
        <w:tc>
          <w:tcPr>
            <w:tcW w:w="102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39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Kilowatts Per Hour</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c>
          <w:tcPr>
            <w:tcW w:w="0" w:type="auto"/>
            <w:vMerge/>
            <w:tcBorders>
              <w:top w:val="nil"/>
            </w:tcBorders>
          </w:tcPr>
          <w:p/>
        </w:tc>
        <w:tc>
          <w:tcPr>
            <w:tcW w:w="0" w:type="auto"/>
            <w:vMerge/>
            <w:tcBorders>
              <w:top w:val="nil"/>
            </w:tcBorders>
          </w:tcP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Fluorescent and Other High Intensity Lights:</w:t>
      </w:r>
    </w:p>
    <w:tbl>
      <w:tblPr>
        <w:tblW w:w="0" w:type="auto"/>
        <w:tblCellSpacing w:w="0" w:type="auto"/>
        <w:tblBorders>
          <w:top w:val="none"/>
          <w:left w:val="none"/>
          <w:bottom w:val="none"/>
          <w:right w:val="none"/>
          <w:insideH w:val="none"/>
          <w:insideV w:val="none"/>
        </w:tblBorders>
        <w:tblLayout w:type="fixed"/>
      </w:tblPr>
      <w:tblGrid>
        <w:gridCol w:w="2590"/>
        <w:gridCol w:w="751"/>
        <w:gridCol w:w="617"/>
        <w:gridCol w:w="1470"/>
        <w:gridCol w:w="904"/>
        <w:gridCol w:w="2269"/>
        <w:gridCol w:w="2589"/>
      </w:tblGrid>
      <w:tr>
        <w:trPr>
          <w:trHeight w:val="225" w:hRule="atLeast"/>
        </w:trPr>
        <w:tc>
          <w:tcPr>
            <w:tcW w:w="2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Watts</w:t>
            </w:r>
          </w:p>
        </w:tc>
        <w:tc>
          <w:tcPr>
            <w:tcW w:w="6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4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(Watts)</w:t>
            </w:r>
          </w:p>
        </w:tc>
        <w:tc>
          <w:tcPr>
            <w:tcW w:w="90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269"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Kilowatts Per Hour</w:t>
            </w:r>
          </w:p>
        </w:tc>
        <w:tc>
          <w:tcPr>
            <w:tcW w:w="25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0" w:type="auto"/>
            <w:vMerge/>
            <w:tcBorders>
              <w:top w:val="nil"/>
            </w:tcBorders>
          </w:tcPr>
          <w:p/>
        </w:tc>
        <w:tc>
          <w:tcPr>
            <w:tcW w:w="0" w:type="auto"/>
            <w:vMerge/>
            <w:tcBorders>
              <w:top w:val="nil"/>
            </w:tcBorders>
          </w:tcPr>
          <w:p/>
        </w:tc>
        <w:tc>
          <w:tcPr>
            <w:tcW w:w="25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Devices other than lights. For these devices, use the wattage rating given by the manufacturer and divide by 1,000 to obtain approximate kilowatts used per hour of operation.</w:t>
      </w:r>
    </w:p>
    <w:p>
      <w:pPr>
        <w:spacing w:before="0" w:after="0"/>
        <w:ind w:left="120"/>
        <w:jc w:val="both"/>
      </w:pPr>
      <w:r>
        <w:rPr>
          <w:rFonts w:ascii="Times New Roman" w:hAnsi="Times New Roman"/>
          <w:b w:val="false"/>
          <w:i w:val="false"/>
          <w:color w:val="000000"/>
          <w:sz w:val="22"/>
        </w:rPr>
        <w:t> </w:t>
      </w:r>
    </w:p>
    <w:tbl>
      <w:tblPr>
        <w:tblW w:w="0" w:type="auto"/>
        <w:tblCellSpacing w:w="0" w:type="auto"/>
        <w:tblBorders>
          <w:top w:val="none"/>
          <w:left w:val="none"/>
          <w:bottom w:val="none"/>
          <w:right w:val="none"/>
          <w:insideH w:val="none"/>
          <w:insideV w:val="none"/>
        </w:tblBorders>
        <w:tblLayout w:type="fixed"/>
      </w:tblPr>
      <w:tblGrid>
        <w:gridCol w:w="3389"/>
        <w:gridCol w:w="872"/>
        <w:gridCol w:w="1026"/>
        <w:gridCol w:w="2391"/>
        <w:gridCol w:w="3511"/>
      </w:tblGrid>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Watts</w:t>
            </w:r>
          </w:p>
        </w:tc>
        <w:tc>
          <w:tcPr>
            <w:tcW w:w="102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39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Kilowatts Per Hour</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c>
          <w:tcPr>
            <w:tcW w:w="0" w:type="auto"/>
            <w:vMerge/>
            <w:tcBorders>
              <w:top w:val="nil"/>
            </w:tcBorders>
          </w:tcPr>
          <w:p/>
        </w:tc>
        <w:tc>
          <w:tcPr>
            <w:tcW w:w="0" w:type="auto"/>
            <w:vMerge/>
            <w:tcBorders>
              <w:top w:val="nil"/>
            </w:tcBorders>
          </w:tcP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If an appliance does not list a watt rating, tables provided by Iowa State University Cooperative Extension Service can be used, especially by farmers who are attempting to compute their exempt percentage of electricity used. Persons using a table are reminded to convert watts to kilowatts before proceeding to further calculations.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average number of kilowatts consumed per hour of operation for any one device must next be multiplied by the total number of hours that the device is operated during the base period. A person may use intermediate calculations.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Assume that a machine used in processing consumes 20 kilowatts per hour of operation. The machine is operated, during a 12-month base period, 40 hours per week during 50 weeks. The machine is not placed in operation when the factory is closed for two weeks’ vacation. Exempt use is calculated as follows:</w:t>
      </w:r>
    </w:p>
    <w:tbl>
      <w:tblPr>
        <w:tblW w:w="0" w:type="auto"/>
        <w:tblCellSpacing w:w="0" w:type="auto"/>
        <w:tblBorders>
          <w:top w:val="none"/>
          <w:left w:val="none"/>
          <w:bottom w:val="none"/>
          <w:right w:val="none"/>
          <w:insideH w:val="none"/>
          <w:insideV w:val="none"/>
        </w:tblBorders>
        <w:tblLayout w:type="fixed"/>
      </w:tblPr>
      <w:tblGrid>
        <w:gridCol w:w="1470"/>
        <w:gridCol w:w="2046"/>
        <w:gridCol w:w="2142"/>
        <w:gridCol w:w="2046"/>
        <w:gridCol w:w="3486"/>
      </w:tblGrid>
      <w:tr>
        <w:trPr>
          <w:trHeight w:val="570" w:hRule="atLeast"/>
        </w:trPr>
        <w:tc>
          <w:tcPr>
            <w:tcW w:w="147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Kilowatts</w:t>
            </w:r>
          </w:p>
          <w:p>
            <w:pPr>
              <w:spacing w:before="0" w:after="0"/>
              <w:ind w:left="160"/>
              <w:jc w:val="left"/>
            </w:pPr>
            <w:r>
              <w:rPr>
                <w:rFonts w:ascii="Times New Roman" w:hAnsi="Times New Roman"/>
                <w:b w:val="false"/>
                <w:i w:val="false"/>
                <w:color w:val="000000"/>
                <w:sz w:val="16"/>
              </w:rPr>
              <w:t>per hour</w:t>
            </w:r>
          </w:p>
        </w:tc>
        <w:tc>
          <w:tcPr>
            <w:tcW w:w="204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14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Hours operated</w:t>
            </w:r>
          </w:p>
          <w:p>
            <w:pPr>
              <w:spacing w:before="0" w:after="0"/>
              <w:ind w:left="160"/>
              <w:jc w:val="center"/>
            </w:pPr>
            <w:r>
              <w:rPr>
                <w:rFonts w:ascii="Times New Roman" w:hAnsi="Times New Roman"/>
                <w:b w:val="false"/>
                <w:i w:val="false"/>
                <w:color w:val="000000"/>
                <w:sz w:val="16"/>
              </w:rPr>
              <w:t>per week</w:t>
            </w:r>
          </w:p>
        </w:tc>
        <w:tc>
          <w:tcPr>
            <w:tcW w:w="204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8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Weeks operated in 12-month</w:t>
            </w:r>
          </w:p>
          <w:p>
            <w:pPr>
              <w:spacing w:before="0" w:after="0"/>
              <w:ind w:left="160"/>
              <w:jc w:val="center"/>
            </w:pPr>
            <w:r>
              <w:rPr>
                <w:rFonts w:ascii="Times New Roman" w:hAnsi="Times New Roman"/>
                <w:b w:val="false"/>
                <w:i w:val="false"/>
                <w:color w:val="000000"/>
                <w:sz w:val="16"/>
              </w:rPr>
              <w:t xml:space="preserve">period equals number of </w:t>
            </w:r>
          </w:p>
          <w:p>
            <w:pPr>
              <w:spacing w:before="0" w:after="0"/>
              <w:ind w:left="160"/>
              <w:jc w:val="center"/>
            </w:pPr>
            <w:r>
              <w:rPr>
                <w:rFonts w:ascii="Times New Roman" w:hAnsi="Times New Roman"/>
                <w:b w:val="false"/>
                <w:i w:val="false"/>
                <w:color w:val="000000"/>
                <w:sz w:val="16"/>
              </w:rPr>
              <w:t>exempt kilowatt hours</w:t>
            </w:r>
          </w:p>
        </w:tc>
      </w:tr>
    </w:tbl>
    <w:p>
      <w:pPr>
        <w:spacing w:before="0" w:after="0"/>
        <w:ind w:left="120"/>
        <w:jc w:val="both"/>
      </w:pPr>
      <w:r>
        <w:rPr>
          <w:rFonts w:ascii="Times New Roman" w:hAnsi="Times New Roman"/>
          <w:b w:val="false"/>
          <w:i w:val="false"/>
          <w:color w:val="000000"/>
          <w:sz w:val="22"/>
        </w:rPr>
        <w:t>In this example, 20 x 40 x 50 = 40,000 exempt kilowatt hours.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that a grain dryer uses 30 kilowatts per hour of operation. During a 12-month base period, the grain dryer is used in processing 200 hours per month, for 3 months. The calculation for total number of kilowatt hours of exempt use for the 12-month period is as follows:</w:t>
      </w:r>
    </w:p>
    <w:tbl>
      <w:tblPr>
        <w:tblW w:w="0" w:type="auto"/>
        <w:tblCellSpacing w:w="0" w:type="auto"/>
        <w:tblBorders>
          <w:top w:val="none"/>
          <w:left w:val="none"/>
          <w:bottom w:val="none"/>
          <w:right w:val="none"/>
          <w:insideH w:val="none"/>
          <w:insideV w:val="none"/>
        </w:tblBorders>
        <w:tblLayout w:type="fixed"/>
      </w:tblPr>
      <w:tblGrid>
        <w:gridCol w:w="1407"/>
        <w:gridCol w:w="2079"/>
        <w:gridCol w:w="2202"/>
        <w:gridCol w:w="2079"/>
        <w:gridCol w:w="3422"/>
      </w:tblGrid>
      <w:tr>
        <w:trPr>
          <w:trHeight w:val="570" w:hRule="atLeast"/>
        </w:trPr>
        <w:tc>
          <w:tcPr>
            <w:tcW w:w="14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Kilowatts</w:t>
            </w:r>
          </w:p>
          <w:p>
            <w:pPr>
              <w:spacing w:before="0" w:after="0"/>
              <w:ind w:left="160"/>
              <w:jc w:val="left"/>
            </w:pPr>
            <w:r>
              <w:rPr>
                <w:rFonts w:ascii="Times New Roman" w:hAnsi="Times New Roman"/>
                <w:b w:val="false"/>
                <w:i w:val="false"/>
                <w:color w:val="000000"/>
                <w:sz w:val="16"/>
              </w:rPr>
              <w:t>per hour</w:t>
            </w:r>
          </w:p>
        </w:tc>
        <w:tc>
          <w:tcPr>
            <w:tcW w:w="207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Hours operated</w:t>
            </w:r>
          </w:p>
          <w:p>
            <w:pPr>
              <w:spacing w:before="0" w:after="0"/>
              <w:ind w:left="160"/>
              <w:jc w:val="center"/>
            </w:pPr>
            <w:r>
              <w:rPr>
                <w:rFonts w:ascii="Times New Roman" w:hAnsi="Times New Roman"/>
                <w:b w:val="false"/>
                <w:i w:val="false"/>
                <w:color w:val="000000"/>
                <w:sz w:val="16"/>
              </w:rPr>
              <w:t>per month</w:t>
            </w:r>
          </w:p>
        </w:tc>
        <w:tc>
          <w:tcPr>
            <w:tcW w:w="207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2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 months of exempt</w:t>
            </w:r>
          </w:p>
          <w:p>
            <w:pPr>
              <w:spacing w:before="0" w:after="0"/>
              <w:ind w:left="160"/>
              <w:jc w:val="center"/>
            </w:pPr>
            <w:r>
              <w:rPr>
                <w:rFonts w:ascii="Times New Roman" w:hAnsi="Times New Roman"/>
                <w:b w:val="false"/>
                <w:i w:val="false"/>
                <w:color w:val="000000"/>
                <w:sz w:val="16"/>
              </w:rPr>
              <w:t>use equals total number of</w:t>
            </w:r>
          </w:p>
          <w:p>
            <w:pPr>
              <w:spacing w:before="0" w:after="0"/>
              <w:ind w:left="160"/>
              <w:jc w:val="center"/>
            </w:pPr>
            <w:r>
              <w:rPr>
                <w:rFonts w:ascii="Times New Roman" w:hAnsi="Times New Roman"/>
                <w:b w:val="false"/>
                <w:i w:val="false"/>
                <w:color w:val="000000"/>
                <w:sz w:val="16"/>
              </w:rPr>
              <w:t>exempt kilowatt hours</w:t>
            </w:r>
          </w:p>
        </w:tc>
      </w:tr>
    </w:tbl>
    <w:p>
      <w:pPr>
        <w:spacing w:before="0" w:after="0"/>
        <w:ind w:left="120"/>
        <w:jc w:val="both"/>
      </w:pPr>
      <w:r>
        <w:rPr>
          <w:rFonts w:ascii="Times New Roman" w:hAnsi="Times New Roman"/>
          <w:b w:val="false"/>
          <w:i w:val="false"/>
          <w:color w:val="000000"/>
          <w:sz w:val="22"/>
        </w:rPr>
        <w:t>In this example, 30 x 200 x 3 = 18,000 exempt kilowatt hours.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EXAMPLE 3:</w:t>
      </w:r>
      <w:r>
        <w:rPr>
          <w:rFonts w:ascii="Times New Roman" w:hAnsi="Times New Roman"/>
          <w:b w:val="false"/>
          <w:i w:val="false"/>
          <w:color w:val="000000"/>
          <w:sz w:val="22"/>
        </w:rPr>
        <w:t xml:space="preserve"> The following is a very simplified example of a worksheet for determining the percentage of electricity qualifying for exemption when a single meter records both exempt and taxable use.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Example worksheet. </w:t>
      </w:r>
      <w:r>
        <w:rPr>
          <w:rFonts w:ascii="Times New Roman" w:hAnsi="Times New Roman"/>
          <w:b w:val="false"/>
          <w:i w:val="false"/>
          <w:color w:val="000000"/>
          <w:sz w:val="22"/>
        </w:rPr>
        <w:t>The following is a simplified example of a worksheet for determining the percentage of electricity qualifying for exemption when a single meter records both exempt and taxable use.</w:t>
      </w:r>
    </w:p>
    <w:tbl>
      <w:tblPr>
        <w:tblW w:w="0" w:type="auto"/>
        <w:tblCellSpacing w:w="0" w:type="auto"/>
        <w:tblBorders>
          <w:top w:val="none"/>
          <w:left w:val="none"/>
          <w:bottom w:val="none"/>
          <w:right w:val="none"/>
          <w:insideH w:val="none"/>
          <w:insideV w:val="none"/>
        </w:tblBorders>
        <w:tblLayout w:type="fixed"/>
      </w:tblPr>
      <w:tblGrid>
        <w:gridCol w:w="3058"/>
        <w:gridCol w:w="1578"/>
        <w:gridCol w:w="331"/>
        <w:gridCol w:w="2043"/>
        <w:gridCol w:w="331"/>
        <w:gridCol w:w="2041"/>
        <w:gridCol w:w="331"/>
        <w:gridCol w:w="1477"/>
      </w:tblGrid>
      <w:tr>
        <w:trPr>
          <w:trHeight w:val="75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7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Kilowatts</w:t>
            </w:r>
          </w:p>
          <w:p>
            <w:pPr>
              <w:spacing w:before="0" w:after="0"/>
              <w:ind w:left="160"/>
              <w:jc w:val="center"/>
            </w:pPr>
            <w:r>
              <w:rPr>
                <w:rFonts w:ascii="Times New Roman" w:hAnsi="Times New Roman"/>
                <w:b w:val="false"/>
                <w:i w:val="false"/>
                <w:color w:val="000000"/>
                <w:sz w:val="16"/>
              </w:rPr>
              <w:t>Per Hour of</w:t>
            </w:r>
          </w:p>
          <w:p>
            <w:pPr>
              <w:spacing w:before="0" w:after="0"/>
              <w:ind w:left="160"/>
              <w:jc w:val="center"/>
            </w:pPr>
            <w:r>
              <w:rPr>
                <w:rFonts w:ascii="Times New Roman" w:hAnsi="Times New Roman"/>
                <w:b w:val="false"/>
                <w:i w:val="false"/>
                <w:color w:val="000000"/>
                <w:sz w:val="16"/>
              </w:rPr>
              <w:t>Operation</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Average Hours</w:t>
            </w:r>
          </w:p>
          <w:p>
            <w:pPr>
              <w:spacing w:before="0" w:after="0"/>
              <w:ind w:left="160"/>
              <w:jc w:val="center"/>
            </w:pPr>
            <w:r>
              <w:rPr>
                <w:rFonts w:ascii="Times New Roman" w:hAnsi="Times New Roman"/>
                <w:b w:val="false"/>
                <w:i w:val="false"/>
                <w:color w:val="000000"/>
                <w:sz w:val="16"/>
              </w:rPr>
              <w:t>of Operation</w:t>
            </w:r>
          </w:p>
          <w:p>
            <w:pPr>
              <w:spacing w:before="0" w:after="0"/>
              <w:ind w:left="160"/>
              <w:jc w:val="center"/>
            </w:pPr>
            <w:r>
              <w:rPr>
                <w:rFonts w:ascii="Times New Roman" w:hAnsi="Times New Roman"/>
                <w:b w:val="false"/>
                <w:i w:val="false"/>
                <w:color w:val="000000"/>
                <w:sz w:val="16"/>
              </w:rPr>
              <w:t>Per 12-Month</w:t>
            </w:r>
          </w:p>
          <w:p>
            <w:pPr>
              <w:spacing w:before="0" w:after="0"/>
              <w:ind w:left="160"/>
              <w:jc w:val="center"/>
            </w:pPr>
            <w:r>
              <w:rPr>
                <w:rFonts w:ascii="Times New Roman" w:hAnsi="Times New Roman"/>
                <w:b w:val="false"/>
                <w:i w:val="false"/>
                <w:color w:val="000000"/>
                <w:sz w:val="16"/>
              </w:rPr>
              <w:t>Base Period</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Average</w:t>
            </w:r>
          </w:p>
          <w:p>
            <w:pPr>
              <w:spacing w:before="0" w:after="0"/>
              <w:ind w:left="160"/>
              <w:jc w:val="center"/>
            </w:pPr>
            <w:r>
              <w:rPr>
                <w:rFonts w:ascii="Times New Roman" w:hAnsi="Times New Roman"/>
                <w:b w:val="false"/>
                <w:i w:val="false"/>
                <w:color w:val="000000"/>
                <w:sz w:val="16"/>
              </w:rPr>
              <w:t>Kilowatt Hours Per 12-Month</w:t>
            </w:r>
          </w:p>
          <w:p>
            <w:pPr>
              <w:spacing w:before="0" w:after="0"/>
              <w:ind w:left="160"/>
              <w:jc w:val="center"/>
            </w:pPr>
            <w:r>
              <w:rPr>
                <w:rFonts w:ascii="Times New Roman" w:hAnsi="Times New Roman"/>
                <w:b w:val="false"/>
                <w:i w:val="false"/>
                <w:color w:val="000000"/>
                <w:sz w:val="16"/>
              </w:rPr>
              <w:t>Base Period</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Total</w:t>
            </w:r>
          </w:p>
        </w:tc>
      </w:tr>
      <w:tr>
        <w:trPr>
          <w:trHeight w:val="225"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Exempt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Production Machine #1</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Production Machine #2</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Other</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Exempt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30000(A)</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Taxable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Air Conditioners</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 Lighting</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Office Equipment</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Space Heaters</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Other</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Taxable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150000(B)</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Total—All Usages</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180000(C)</w:t>
            </w:r>
          </w:p>
        </w:tc>
      </w:tr>
    </w:tbl>
    <w:tbl>
      <w:tblPr>
        <w:tblW w:w="0" w:type="auto"/>
        <w:tblCellSpacing w:w="0" w:type="auto"/>
        <w:tblBorders>
          <w:top w:val="none"/>
          <w:left w:val="none"/>
          <w:bottom w:val="none"/>
          <w:right w:val="none"/>
          <w:insideH w:val="none"/>
          <w:insideV w:val="none"/>
        </w:tblBorders>
        <w:tblLayout w:type="fixed"/>
      </w:tblPr>
      <w:tblGrid>
        <w:gridCol w:w="1098"/>
        <w:gridCol w:w="767"/>
        <w:gridCol w:w="511"/>
        <w:gridCol w:w="671"/>
        <w:gridCol w:w="6323"/>
        <w:gridCol w:w="670"/>
        <w:gridCol w:w="1150"/>
      </w:tblGrid>
      <w:tr>
        <w:trPr>
          <w:trHeight w:val="225" w:hRule="atLeast"/>
        </w:trPr>
        <w:tc>
          <w:tcPr>
            <w:tcW w:w="10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30000</w:t>
            </w:r>
          </w:p>
        </w:tc>
        <w:tc>
          <w:tcPr>
            <w:tcW w:w="76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or</w:t>
            </w:r>
          </w:p>
        </w:tc>
        <w:tc>
          <w:tcPr>
            <w:tcW w:w="51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67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323"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Percentage of Electricity Purchase Qualifying for Exemption</w:t>
            </w:r>
          </w:p>
        </w:tc>
        <w:tc>
          <w:tcPr>
            <w:tcW w:w="67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5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16.60%</w:t>
            </w:r>
          </w:p>
        </w:tc>
      </w:tr>
      <w:tr>
        <w:trPr>
          <w:trHeight w:val="225" w:hRule="atLeast"/>
        </w:trPr>
        <w:tc>
          <w:tcPr>
            <w:tcW w:w="1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180000</w:t>
            </w:r>
          </w:p>
        </w:tc>
        <w:tc>
          <w:tcPr>
            <w:tcW w:w="0" w:type="auto"/>
            <w:vMerge/>
            <w:tcBorders>
              <w:top w:val="nil"/>
            </w:tcBorders>
          </w:tcPr>
          <w:p/>
        </w:tc>
        <w:tc>
          <w:tcPr>
            <w:tcW w:w="51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The number actually used in the base period can be determined by reference to billings for the base period. If the number of kilowatt hours calculated to have been used does not approximate the number actually used in the base period, the calculations are deficient and should be performed again. Once the precise percentage of exemption has been calculated, that percentage must be applied during any period for which a purchaser is requesting exemption. Any substantial and permanent change in the amount of electricity consumed or in the proportion of exempt and nonexempt use of electricity is an occasion for recomputing the exempt percentage and for filing a new exemption certificate.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 xml:space="preserve">The following are nonexclusive alternatives to the above method of determining the percentage of electricity, which is exempt because it is used in processing.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currently only one meter exists to measure both exempt and nonexempt use of electricity, the most accurate method of determining exempt and nonexempt use may be separate metering of these two uses. This possibility is especially practical if all exempt use results from the activities of one machine, however large.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separate metering is impossible or impractical, it may be useful to employ the services of an energy consultant. If using an energy consultant’s service is impractical, it may be possible to secure, from the manufacturer of a machine used in processing, the number of kilowatts that a machine uses per hour of operation. Often, these manufacturer’s studies give a more accurate measure of a machine’s use of electricity than the formulas set out in paragraph </w:t>
      </w:r>
      <w:hyperlink r:id="rId19">
        <w:r>
          <w:rPr>
            <w:rStyle w:val="Hyperlink"/>
            <w:rFonts w:ascii="Times New Roman" w:hAnsi="Times New Roman"/>
            <w:b w:val="false"/>
            <w:i w:val="false"/>
            <w:color w:val="000000"/>
            <w:sz w:val="22"/>
          </w:rPr>
          <w:t>209.2(5)</w:t>
        </w:r>
        <w:r>
          <w:rPr>
            <w:rFonts w:ascii="Times New Roman" w:hAnsi="Times New Roman"/>
            <w:b w:val="false"/>
            <w:i/>
            <w:color w:val="000000"/>
            <w:sz w:val="22"/>
          </w:rPr>
          <w:t>“b”</w:t>
        </w:r>
      </w:hyperlink>
      <w:r>
        <w:rPr>
          <w:rFonts w:ascii="Times New Roman" w:hAnsi="Times New Roman"/>
          <w:b w:val="false"/>
          <w:i w:val="false"/>
          <w:color w:val="000000"/>
          <w:sz w:val="22"/>
        </w:rPr>
        <w:t xml:space="preserve"> above. This circumstance is especially true with regard to large electric motors.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business is new, and no historical data exists for use in calculating exempt and nonexempt percentages of electricity or other fuel consumed, any person calculating future exempt use must make the best projections possible. If calculating future exempt use with no past historical data to serve as a basis for the calculations, it is suggested that conservative estimates of exempt use be made. Using these conservative estimates can avoid future liability for sales tax on the part of the purchaser of the electricity. Possibly, in calculating exempt use of fuel for a new business, historical data from existing similar businesses can be used if available from persons not in direct competition with the person claiming the exemption. The calculation and the exemption certificate must be updated once data from an accurate 12-month cycle, or other appropriate cycle, is available.</w:t>
      </w:r>
    </w:p>
    <w:p>
      <w:pPr>
        <w:spacing w:before="0" w:after="0"/>
        <w:ind w:left="120"/>
        <w:jc w:val="both"/>
      </w:pPr>
      <w:r>
        <w:rPr>
          <w:rFonts w:ascii="Times New Roman" w:hAnsi="Times New Roman"/>
          <w:b/>
          <w:i w:val="false"/>
          <w:color w:val="000000"/>
          <w:sz w:val="22"/>
        </w:rPr>
        <w:t>209.2(6)</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provisions of </w:t>
      </w:r>
      <w:hyperlink r:id="rId20">
        <w:r>
          <w:rPr>
            <w:rStyle w:val="Hyperlink"/>
            <w:rFonts w:ascii="Times New Roman" w:hAnsi="Times New Roman"/>
            <w:b w:val="false"/>
            <w:i w:val="false"/>
            <w:color w:val="000000"/>
            <w:sz w:val="22"/>
          </w:rPr>
          <w:t>subrule 209.2(5)</w:t>
        </w:r>
      </w:hyperlink>
      <w:r>
        <w:rPr>
          <w:rFonts w:ascii="Times New Roman" w:hAnsi="Times New Roman"/>
          <w:b w:val="false"/>
          <w:i w:val="false"/>
          <w:color w:val="000000"/>
          <w:sz w:val="22"/>
        </w:rPr>
        <w:t xml:space="preserve"> explaining the determination of the percentage exemption for electricity also apply to other types of fuel, such as natural gas, LP, etc., when used for exempt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423.45.</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701—209.3</w:t>
      </w:r>
      <w:r>
        <w:rPr>
          <w:rFonts w:ascii="Times New Roman" w:hAnsi="Times New Roman"/>
          <w:b/>
          <w:i w:val="false"/>
          <w:color w:val="000000"/>
          <w:sz w:val="22"/>
        </w:rPr>
        <w:t xml:space="preserve">(423) </w:t>
      </w:r>
      <w:r>
        <w:rPr>
          <w:rFonts w:ascii="Times New Roman" w:hAnsi="Times New Roman"/>
          <w:b/>
          <w:i w:val="false"/>
          <w:color w:val="000000"/>
          <w:sz w:val="22"/>
        </w:rPr>
        <w:t xml:space="preserve">Special certificates of beer and wine wholesalers. </w:t>
      </w:r>
      <w:r>
        <w:rPr>
          <w:rFonts w:ascii="Times New Roman" w:hAnsi="Times New Roman"/>
          <w:b w:val="false"/>
          <w:i w:val="false"/>
          <w:color w:val="000000"/>
          <w:sz w:val="22"/>
        </w:rPr>
        <w:t xml:space="preserve">Beer or wine purchased from a wholesaler holding a Class A or F permit has been purchased for resale if the purchaser provides the wholesaler with a retail beer or wine permit or liquor license number. A wholesaler’s record of account with an individual retailer is a complete and correct exemption certificate for the purposes of beer or wine sales and provides all the protection that the usual exemption certificate, as described in rule </w:t>
      </w:r>
      <w:hyperlink r:id="rId22">
        <w:r>
          <w:rPr>
            <w:rStyle w:val="Hyperlink"/>
            <w:rFonts w:ascii="Times New Roman" w:hAnsi="Times New Roman"/>
            <w:b w:val="false"/>
            <w:i w:val="false"/>
            <w:color w:val="000000"/>
            <w:sz w:val="22"/>
          </w:rPr>
          <w:t>701—209.1</w:t>
        </w:r>
      </w:hyperlink>
      <w:r>
        <w:rPr>
          <w:rFonts w:ascii="Times New Roman" w:hAnsi="Times New Roman"/>
          <w:b w:val="false"/>
          <w:i w:val="false"/>
          <w:color w:val="000000"/>
          <w:sz w:val="22"/>
        </w:rPr>
        <w:t xml:space="preserve">(423), provides if the record of account contains the retailer’s beer or wine permit or liquor license number and all other information concerning the account is taken in good faith by the wholesaler. For the purposes of this rule, the words “beer,” “permit,” “retailer,” “wholesaler,” and “wine” mean the same as defined in Iowa Code section </w:t>
      </w:r>
      <w:hyperlink r:id="rId23">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423.45.</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8151C</w:t>
      </w:r>
      <w:r>
        <w:rPr>
          <w:rFonts w:ascii="Times New Roman" w:hAnsi="Times New Roman"/>
          <w:b w:val="false"/>
          <w:i w:val="false"/>
          <w:color w:val="000000"/>
          <w:sz w:val="21"/>
        </w:rPr>
        <w:t xml:space="preserve"> (Notice ARC 7196C,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09.1.pdf" Type="http://schemas.openxmlformats.org/officeDocument/2006/relationships/hyperlink" Id="rId4"/>
    <Relationship TargetMode="External" Target="https://www.legis.iowa.gov/docs/iac/rule/701.209.1.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mtc.gov" Type="http://schemas.openxmlformats.org/officeDocument/2006/relationships/hyperlink" Id="rId7"/>
    <Relationship TargetMode="External" Target="http://streamlinedsalestax.org"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423.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ac/rule/701.209.2.pdf" Type="http://schemas.openxmlformats.org/officeDocument/2006/relationships/hyperlink" Id="rId16"/>
    <Relationship TargetMode="External" Target="https://www.legis.iowa.gov/docs/ico/chapter/423.pdf" Type="http://schemas.openxmlformats.org/officeDocument/2006/relationships/hyperlink" Id="rId17"/>
    <Relationship TargetMode="External" Target="https://www.legis.iowa.gov/docs/iac/rule/701.209.2.pdf" Type="http://schemas.openxmlformats.org/officeDocument/2006/relationships/hyperlink" Id="rId18"/>
    <Relationship TargetMode="External" Target="https://www.legis.iowa.gov/docs/iac/rule/701.209.2.pdf" Type="http://schemas.openxmlformats.org/officeDocument/2006/relationships/hyperlink" Id="rId19"/>
    <Relationship TargetMode="External" Target="https://www.legis.iowa.gov/docs/iac/rule/701.209.2.pdf" Type="http://schemas.openxmlformats.org/officeDocument/2006/relationships/hyperlink" Id="rId20"/>
    <Relationship TargetMode="External" Target="https://www.legis.iowa.gov/docs/ico/chapter/423.pdf" Type="http://schemas.openxmlformats.org/officeDocument/2006/relationships/hyperlink" Id="rId21"/>
    <Relationship TargetMode="External" Target="https://www.legis.iowa.gov/docs/iac/rule/701.209.1.pdf" Type="http://schemas.openxmlformats.org/officeDocument/2006/relationships/hyperlink" Id="rId22"/>
    <Relationship TargetMode="External" Target="https://www.legis.iowa.gov/docs/ico/chapter/123.pdf" Type="http://schemas.openxmlformats.org/officeDocument/2006/relationships/hyperlink" Id="rId23"/>
    <Relationship TargetMode="External" Target="https://www.legis.iowa.gov/docs/ico/chapter/423.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